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64ABE">
      <w:pPr>
        <w:tabs>
          <w:tab w:val="left" w:pos="495"/>
          <w:tab w:val="center" w:pos="4252"/>
          <w:tab w:val="left" w:pos="8080"/>
        </w:tabs>
        <w:spacing w:after="0" w:line="240" w:lineRule="auto"/>
        <w:jc w:val="center"/>
        <w:rPr>
          <w:rFonts w:ascii="Arial Narrow" w:hAnsi="Arial Narrow" w:cs="Times New Roman"/>
          <w:b/>
          <w:bCs/>
          <w:sz w:val="36"/>
          <w:szCs w:val="36"/>
        </w:rPr>
      </w:pPr>
      <w:r>
        <w:rPr>
          <w:rFonts w:ascii="Arial Narrow" w:hAnsi="Arial Narrow" w:cs="Times New Roman"/>
          <w:sz w:val="18"/>
          <w:szCs w:val="18"/>
          <w:lang w:val="en-US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-265430</wp:posOffset>
            </wp:positionH>
            <wp:positionV relativeFrom="paragraph">
              <wp:posOffset>8255</wp:posOffset>
            </wp:positionV>
            <wp:extent cx="1130300" cy="1056640"/>
            <wp:effectExtent l="0" t="0" r="0" b="0"/>
            <wp:wrapNone/>
            <wp:docPr id="1026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n 1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0259" cy="105690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EB5CBF">
      <w:pPr>
        <w:tabs>
          <w:tab w:val="left" w:pos="495"/>
          <w:tab w:val="center" w:pos="4252"/>
          <w:tab w:val="left" w:pos="8080"/>
        </w:tabs>
        <w:spacing w:after="0" w:line="240" w:lineRule="auto"/>
        <w:jc w:val="center"/>
        <w:rPr>
          <w:rFonts w:ascii="Arial Narrow" w:hAnsi="Arial Narrow" w:cs="Times New Roman"/>
          <w:b/>
          <w:bCs/>
          <w:sz w:val="36"/>
          <w:szCs w:val="36"/>
        </w:rPr>
      </w:pPr>
    </w:p>
    <w:p w14:paraId="03E40788">
      <w:pPr>
        <w:tabs>
          <w:tab w:val="left" w:pos="495"/>
          <w:tab w:val="center" w:pos="4252"/>
          <w:tab w:val="left" w:pos="8080"/>
        </w:tabs>
        <w:spacing w:after="0" w:line="240" w:lineRule="auto"/>
        <w:jc w:val="center"/>
        <w:rPr>
          <w:rFonts w:ascii="Arial Narrow" w:hAnsi="Arial Narrow" w:cs="Times New Roman"/>
          <w:b/>
          <w:bCs/>
          <w:sz w:val="36"/>
          <w:szCs w:val="36"/>
        </w:rPr>
      </w:pPr>
    </w:p>
    <w:p w14:paraId="7F42B410">
      <w:pPr>
        <w:tabs>
          <w:tab w:val="left" w:pos="495"/>
          <w:tab w:val="center" w:pos="4252"/>
          <w:tab w:val="left" w:pos="8080"/>
        </w:tabs>
        <w:spacing w:after="0" w:line="240" w:lineRule="auto"/>
        <w:jc w:val="center"/>
        <w:rPr>
          <w:rFonts w:ascii="Arial Narrow" w:hAnsi="Arial Narrow" w:cs="Times New Roman"/>
          <w:b/>
          <w:bCs/>
          <w:sz w:val="36"/>
          <w:szCs w:val="36"/>
        </w:rPr>
      </w:pPr>
    </w:p>
    <w:p w14:paraId="0CC705C0">
      <w:pPr>
        <w:tabs>
          <w:tab w:val="left" w:pos="495"/>
          <w:tab w:val="center" w:pos="4252"/>
          <w:tab w:val="left" w:pos="8080"/>
        </w:tabs>
        <w:spacing w:after="0" w:line="240" w:lineRule="auto"/>
        <w:jc w:val="center"/>
        <w:rPr>
          <w:rFonts w:ascii="Arial Narrow" w:hAnsi="Arial Narrow" w:cs="Times New Roman"/>
          <w:b/>
          <w:bCs/>
          <w:sz w:val="36"/>
          <w:szCs w:val="36"/>
        </w:rPr>
      </w:pPr>
      <w:r>
        <w:rPr>
          <w:rFonts w:ascii="Arial Narrow" w:hAnsi="Arial Narrow" w:cs="Times New Roman"/>
          <w:b/>
          <w:bCs/>
          <w:sz w:val="36"/>
          <w:szCs w:val="36"/>
        </w:rPr>
        <w:t>UNIVERSIDAD NACIONAL JOSÉ FAUSTINO SÁNCHEZ CARRIÓN</w:t>
      </w:r>
    </w:p>
    <w:p w14:paraId="4A344847">
      <w:pPr>
        <w:tabs>
          <w:tab w:val="left" w:pos="720"/>
        </w:tabs>
        <w:spacing w:after="0" w:line="240" w:lineRule="auto"/>
        <w:rPr>
          <w:rFonts w:ascii="Arial Narrow" w:hAnsi="Arial Narrow" w:cs="Times New Roman"/>
          <w:b/>
          <w:sz w:val="36"/>
          <w:szCs w:val="36"/>
        </w:rPr>
      </w:pPr>
      <w:r>
        <w:rPr>
          <w:rFonts w:ascii="Arial Narrow" w:hAnsi="Arial Narrow" w:cs="Times New Roman"/>
          <w:b/>
          <w:sz w:val="36"/>
          <w:szCs w:val="36"/>
        </w:rPr>
        <w:tab/>
      </w:r>
    </w:p>
    <w:p w14:paraId="333DD976">
      <w:pPr>
        <w:spacing w:after="0" w:line="360" w:lineRule="auto"/>
        <w:jc w:val="center"/>
        <w:rPr>
          <w:rFonts w:ascii="Arial Narrow" w:hAnsi="Arial Narrow" w:cs="Calibri"/>
          <w:b/>
          <w:sz w:val="36"/>
          <w:szCs w:val="36"/>
        </w:rPr>
      </w:pPr>
    </w:p>
    <w:p w14:paraId="66CC5E74">
      <w:pPr>
        <w:spacing w:after="0" w:line="360" w:lineRule="auto"/>
        <w:jc w:val="center"/>
        <w:rPr>
          <w:rFonts w:ascii="Arial Narrow" w:hAnsi="Arial Narrow" w:cs="Times New Roman"/>
          <w:b/>
          <w:color w:val="FF0000"/>
          <w:sz w:val="36"/>
          <w:szCs w:val="36"/>
        </w:rPr>
      </w:pPr>
      <w:r>
        <w:rPr>
          <w:rFonts w:ascii="Arial Narrow" w:hAnsi="Arial Narrow" w:cs="Times New Roman"/>
          <w:b/>
          <w:sz w:val="36"/>
          <w:szCs w:val="36"/>
        </w:rPr>
        <w:t>FACULTAD DE CIENCIAS EMPRESARIALES</w:t>
      </w:r>
    </w:p>
    <w:p w14:paraId="49507922">
      <w:pPr>
        <w:spacing w:after="0" w:line="360" w:lineRule="auto"/>
        <w:jc w:val="center"/>
        <w:rPr>
          <w:rFonts w:ascii="Arial Narrow" w:hAnsi="Arial Narrow" w:cs="Times New Roman"/>
          <w:b/>
          <w:sz w:val="36"/>
          <w:szCs w:val="36"/>
        </w:rPr>
      </w:pPr>
      <w:r>
        <w:rPr>
          <w:rFonts w:ascii="Arial Narrow" w:hAnsi="Arial Narrow" w:cs="Times New Roman"/>
          <w:b/>
          <w:sz w:val="36"/>
          <w:szCs w:val="36"/>
        </w:rPr>
        <w:t>ESCUELA PROFESIONAL DE NEGOCIOS INTERNACIONALES</w:t>
      </w:r>
    </w:p>
    <w:p w14:paraId="3F7428D9">
      <w:pPr>
        <w:spacing w:after="0" w:line="360" w:lineRule="auto"/>
        <w:jc w:val="center"/>
        <w:rPr>
          <w:rFonts w:ascii="Arial Narrow" w:hAnsi="Arial Narrow" w:cs="Times New Roman"/>
          <w:b/>
          <w:sz w:val="36"/>
          <w:szCs w:val="36"/>
        </w:rPr>
      </w:pPr>
    </w:p>
    <w:p w14:paraId="2F43E3E5">
      <w:pPr>
        <w:spacing w:after="0" w:line="360" w:lineRule="auto"/>
        <w:jc w:val="center"/>
        <w:rPr>
          <w:rFonts w:ascii="Arial Narrow" w:hAnsi="Arial Narrow" w:cs="Calibri Light"/>
          <w:b/>
          <w:sz w:val="36"/>
          <w:szCs w:val="36"/>
        </w:rPr>
      </w:pPr>
      <w:r>
        <w:rPr>
          <w:rFonts w:ascii="Arial Narrow" w:hAnsi="Arial Narrow"/>
          <w:sz w:val="36"/>
          <w:szCs w:val="36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26035</wp:posOffset>
                </wp:positionV>
                <wp:extent cx="5067300" cy="4356100"/>
                <wp:effectExtent l="0" t="0" r="19050" b="25400"/>
                <wp:wrapNone/>
                <wp:docPr id="1027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43563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84198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SILABO POR COMPETENCIAS</w:t>
                            </w:r>
                          </w:p>
                          <w:p w14:paraId="04CE963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7724F6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275C52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1BDD465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INGENIERÍA DE LA EXPORTACIÓN</w:t>
                            </w:r>
                          </w:p>
                          <w:p w14:paraId="12DF482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ADEBE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6E2CFA8A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DOCENTE:</w:t>
                            </w:r>
                          </w:p>
                          <w:p w14:paraId="05480F3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ESPINOZA MORE CARLA MILAGROS</w:t>
                            </w:r>
                          </w:p>
                          <w:p w14:paraId="4E9484D5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14:paraId="5A31F734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 xml:space="preserve">SEMESTRE ACADEMICO </w:t>
                            </w:r>
                          </w:p>
                          <w:p w14:paraId="5A6D83D6">
                            <w:pPr>
                              <w:jc w:val="center"/>
                              <w:rPr>
                                <w:rFonts w:hint="default"/>
                                <w:b/>
                                <w:sz w:val="44"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2026-I</w:t>
                            </w:r>
                            <w:r>
                              <w:rPr>
                                <w:rFonts w:hint="default"/>
                                <w:b/>
                                <w:sz w:val="44"/>
                                <w:lang w:val="es-PE"/>
                              </w:rPr>
                              <w:t>I</w:t>
                            </w:r>
                          </w:p>
                        </w:txbxContent>
                      </wps:txbx>
                      <wps:bodyPr vert="horz" wrap="square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6" o:spid="_x0000_s1026" o:spt="1" style="position:absolute;left:0pt;margin-left:22.25pt;margin-top:2.05pt;height:343pt;width:399pt;z-index:-251656192;v-text-anchor:middle;mso-width-relative:page;mso-height-relative:page;" fillcolor="#FFFFFF" filled="t" stroked="t" coordsize="21600,21600" o:gfxdata="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9R20bNcAAAAIAQAADwAAAAAAAAABACAAAAAiAAAAZHJzL2Rv&#10;d25yZXYueG1sUEsBAhQAFAAAAAgAh07iQDAYj147AgAAqAQAAA4AAAAAAAAAAQAgAAAAJgEAAGRy&#10;cy9lMm9Eb2MueG1sUEsFBgAAAAAGAAYAWQEAANMFAAAAAA==&#10;">
                <v:fill on="t" focussize="0,0"/>
                <v:stroke weight="2pt" color="#000000" joinstyle="miter"/>
                <v:imagedata o:title=""/>
                <o:lock v:ext="edit" aspectratio="f"/>
                <v:textbox>
                  <w:txbxContent>
                    <w:p w14:paraId="58419808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SILABO POR COMPETENCIAS</w:t>
                      </w:r>
                    </w:p>
                    <w:p w14:paraId="04CE9634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67724F62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275C52B2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1BDD4651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INGENIERÍA DE LA EXPORTACIÓN</w:t>
                      </w:r>
                    </w:p>
                    <w:p w14:paraId="12DF4820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1ADEBE08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6E2CFA8A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DOCENTE:</w:t>
                      </w:r>
                    </w:p>
                    <w:p w14:paraId="05480F3F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ESPINOZA MORE CARLA MILAGROS</w:t>
                      </w:r>
                    </w:p>
                    <w:p w14:paraId="4E9484D5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14:paraId="5A31F734">
                      <w:pPr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 xml:space="preserve">SEMESTRE ACADEMICO </w:t>
                      </w:r>
                    </w:p>
                    <w:p w14:paraId="5A6D83D6">
                      <w:pPr>
                        <w:jc w:val="center"/>
                        <w:rPr>
                          <w:rFonts w:hint="default"/>
                          <w:b/>
                          <w:sz w:val="44"/>
                          <w:lang w:val="es-PE"/>
                        </w:rPr>
                      </w:pPr>
                      <w:r>
                        <w:rPr>
                          <w:b/>
                          <w:sz w:val="44"/>
                        </w:rPr>
                        <w:t>2026-I</w:t>
                      </w:r>
                      <w:r>
                        <w:rPr>
                          <w:rFonts w:hint="default"/>
                          <w:b/>
                          <w:sz w:val="44"/>
                          <w:lang w:val="es-PE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</w:p>
    <w:p w14:paraId="5A8A9A29">
      <w:pPr>
        <w:rPr>
          <w:rFonts w:ascii="Arial Narrow" w:hAnsi="Arial Narrow" w:eastAsia="Times New Roman" w:cs="Calibri"/>
          <w:b/>
          <w:bCs/>
          <w:kern w:val="36"/>
          <w:sz w:val="18"/>
          <w:szCs w:val="18"/>
          <w:u w:val="single"/>
          <w:lang w:eastAsia="es-PE"/>
        </w:rPr>
      </w:pPr>
    </w:p>
    <w:p w14:paraId="12490C29">
      <w:pPr>
        <w:rPr>
          <w:rFonts w:ascii="Arial Narrow" w:hAnsi="Arial Narrow" w:eastAsia="Times New Roman" w:cs="Calibri"/>
          <w:b/>
          <w:bCs/>
          <w:kern w:val="36"/>
          <w:sz w:val="18"/>
          <w:szCs w:val="18"/>
          <w:u w:val="single"/>
          <w:lang w:eastAsia="es-PE"/>
        </w:rPr>
      </w:pPr>
    </w:p>
    <w:p w14:paraId="17643EA3">
      <w:pPr>
        <w:spacing w:after="0"/>
        <w:ind w:right="-1"/>
        <w:jc w:val="center"/>
        <w:rPr>
          <w:rFonts w:ascii="Arial Narrow" w:hAnsi="Arial Narrow"/>
          <w:b/>
          <w:sz w:val="18"/>
          <w:szCs w:val="18"/>
        </w:rPr>
      </w:pPr>
    </w:p>
    <w:p w14:paraId="7BC3C076">
      <w:pPr>
        <w:spacing w:after="0"/>
        <w:ind w:right="-1"/>
        <w:jc w:val="center"/>
        <w:rPr>
          <w:rFonts w:ascii="Arial Narrow" w:hAnsi="Arial Narrow"/>
          <w:b/>
          <w:sz w:val="18"/>
          <w:szCs w:val="18"/>
        </w:rPr>
      </w:pPr>
    </w:p>
    <w:p w14:paraId="1FBB797D">
      <w:pPr>
        <w:spacing w:after="0"/>
        <w:ind w:right="-1"/>
        <w:jc w:val="center"/>
        <w:rPr>
          <w:rFonts w:ascii="Arial Narrow" w:hAnsi="Arial Narrow"/>
          <w:b/>
          <w:sz w:val="18"/>
          <w:szCs w:val="18"/>
        </w:rPr>
      </w:pPr>
    </w:p>
    <w:p w14:paraId="76306562">
      <w:pPr>
        <w:spacing w:after="0"/>
        <w:ind w:right="-1"/>
        <w:jc w:val="center"/>
        <w:rPr>
          <w:rFonts w:ascii="Arial Narrow" w:hAnsi="Arial Narrow"/>
          <w:b/>
          <w:sz w:val="18"/>
          <w:szCs w:val="18"/>
        </w:rPr>
      </w:pPr>
    </w:p>
    <w:p w14:paraId="39AE4A8D">
      <w:pPr>
        <w:spacing w:after="0" w:line="276" w:lineRule="auto"/>
        <w:ind w:left="426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</w:p>
    <w:p w14:paraId="6E6ED711">
      <w:pPr>
        <w:spacing w:after="0" w:line="276" w:lineRule="auto"/>
        <w:ind w:left="426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</w:p>
    <w:p w14:paraId="2D3D8AD5">
      <w:pPr>
        <w:spacing w:after="0" w:line="276" w:lineRule="auto"/>
        <w:ind w:left="426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</w:p>
    <w:p w14:paraId="2D03D756">
      <w:pPr>
        <w:spacing w:after="0" w:line="240" w:lineRule="auto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  <w:br w:type="page"/>
      </w:r>
    </w:p>
    <w:tbl>
      <w:tblPr>
        <w:tblStyle w:val="11"/>
        <w:tblW w:w="0" w:type="auto"/>
        <w:tblInd w:w="4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 w14:paraId="4237E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4" w:type="dxa"/>
          </w:tcPr>
          <w:p w14:paraId="39B3CFCE">
            <w:pPr>
              <w:spacing w:after="0" w:line="276" w:lineRule="auto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SÍLABO DE INGENIERÍA DE LA EXPORTACIÓN</w:t>
            </w:r>
          </w:p>
        </w:tc>
      </w:tr>
    </w:tbl>
    <w:p w14:paraId="0F51EAFF">
      <w:pPr>
        <w:spacing w:after="0" w:line="276" w:lineRule="auto"/>
        <w:ind w:left="426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</w:p>
    <w:p w14:paraId="0768BC70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  <w:r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  <w:t>DATOS GENERALES</w:t>
      </w:r>
    </w:p>
    <w:p w14:paraId="57F535F5">
      <w:pPr>
        <w:spacing w:after="0" w:line="276" w:lineRule="auto"/>
        <w:ind w:left="426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</w:p>
    <w:tbl>
      <w:tblPr>
        <w:tblStyle w:val="5"/>
        <w:tblW w:w="8231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6"/>
        <w:gridCol w:w="5495"/>
      </w:tblGrid>
      <w:tr w14:paraId="38594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6" w:type="dxa"/>
            <w:vAlign w:val="center"/>
          </w:tcPr>
          <w:p w14:paraId="5811BF05">
            <w:pPr>
              <w:spacing w:after="0"/>
              <w:ind w:left="175"/>
              <w:rPr>
                <w:rFonts w:eastAsia="Times New Roman" w:asciiTheme="minorHAnsi" w:hAnsiTheme="minorHAnsi" w:cstheme="minorHAnsi"/>
                <w:b/>
                <w:bCs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iCs/>
                <w:color w:val="000000"/>
                <w:sz w:val="24"/>
                <w:szCs w:val="24"/>
                <w:lang w:val="es-ES" w:eastAsia="es-ES"/>
              </w:rPr>
              <w:t>Línea de Carrera</w:t>
            </w:r>
          </w:p>
        </w:tc>
        <w:tc>
          <w:tcPr>
            <w:tcW w:w="5495" w:type="dxa"/>
            <w:vAlign w:val="center"/>
          </w:tcPr>
          <w:p w14:paraId="3BDA14B5">
            <w:pPr>
              <w:spacing w:after="0"/>
              <w:rPr>
                <w:rFonts w:eastAsia="Times New Roman" w:asciiTheme="minorHAnsi" w:hAnsiTheme="minorHAnsi" w:cstheme="minorHAnsi"/>
                <w:iCs/>
                <w:sz w:val="24"/>
                <w:szCs w:val="24"/>
                <w:lang w:val="es-ES" w:eastAsia="es-E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LC2 – </w:t>
            </w:r>
            <w:r>
              <w:rPr>
                <w:rFonts w:eastAsia="Times New Roman" w:asciiTheme="minorHAnsi" w:hAnsiTheme="minorHAnsi" w:cstheme="minorHAnsi"/>
                <w:iCs/>
                <w:sz w:val="24"/>
                <w:szCs w:val="24"/>
                <w:lang w:val="es-ES" w:eastAsia="es-ES"/>
              </w:rPr>
              <w:t xml:space="preserve">Comercio Internacional </w:t>
            </w:r>
          </w:p>
        </w:tc>
      </w:tr>
      <w:tr w14:paraId="4C0A9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6" w:type="dxa"/>
            <w:vAlign w:val="center"/>
          </w:tcPr>
          <w:p w14:paraId="594EDD79">
            <w:pPr>
              <w:spacing w:after="0"/>
              <w:ind w:left="175"/>
              <w:rPr>
                <w:rFonts w:eastAsia="Times New Roman" w:asciiTheme="minorHAnsi" w:hAnsiTheme="minorHAnsi" w:cstheme="minorHAnsi"/>
                <w:b/>
                <w:bCs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iCs/>
                <w:color w:val="000000"/>
                <w:sz w:val="24"/>
                <w:szCs w:val="24"/>
                <w:lang w:val="es-ES" w:eastAsia="es-ES"/>
              </w:rPr>
              <w:t>Curso</w:t>
            </w:r>
          </w:p>
        </w:tc>
        <w:tc>
          <w:tcPr>
            <w:tcW w:w="5495" w:type="dxa"/>
            <w:vAlign w:val="center"/>
          </w:tcPr>
          <w:p w14:paraId="41935402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Ingeniería de la exportación </w:t>
            </w:r>
          </w:p>
        </w:tc>
      </w:tr>
      <w:tr w14:paraId="62719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6" w:type="dxa"/>
            <w:vAlign w:val="center"/>
          </w:tcPr>
          <w:p w14:paraId="06202182">
            <w:pPr>
              <w:spacing w:after="0"/>
              <w:ind w:left="175"/>
              <w:rPr>
                <w:rFonts w:eastAsia="Times New Roman" w:asciiTheme="minorHAnsi" w:hAnsiTheme="minorHAnsi" w:cstheme="minorHAnsi"/>
                <w:b/>
                <w:bCs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iCs/>
                <w:color w:val="000000"/>
                <w:sz w:val="24"/>
                <w:szCs w:val="24"/>
                <w:lang w:val="es-ES" w:eastAsia="es-ES"/>
              </w:rPr>
              <w:t>Código del Curso</w:t>
            </w:r>
          </w:p>
        </w:tc>
        <w:tc>
          <w:tcPr>
            <w:tcW w:w="5495" w:type="dxa"/>
            <w:vAlign w:val="center"/>
          </w:tcPr>
          <w:p w14:paraId="19B2263C">
            <w:pPr>
              <w:spacing w:after="0"/>
              <w:rPr>
                <w:rFonts w:eastAsia="Times New Roman" w:asciiTheme="minorHAnsi" w:hAnsiTheme="minorHAnsi" w:cstheme="minorHAnsi"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Cs/>
                <w:sz w:val="24"/>
                <w:szCs w:val="24"/>
                <w:lang w:val="es-ES" w:eastAsia="es-ES"/>
              </w:rPr>
              <w:t>45502</w:t>
            </w:r>
          </w:p>
        </w:tc>
      </w:tr>
      <w:tr w14:paraId="65B51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6" w:type="dxa"/>
            <w:vAlign w:val="center"/>
          </w:tcPr>
          <w:p w14:paraId="770E9975">
            <w:pPr>
              <w:spacing w:after="0"/>
              <w:ind w:left="175"/>
              <w:rPr>
                <w:rFonts w:eastAsia="Times New Roman" w:asciiTheme="minorHAnsi" w:hAnsiTheme="minorHAnsi" w:cstheme="minorHAnsi"/>
                <w:b/>
                <w:bCs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iCs/>
                <w:color w:val="000000"/>
                <w:sz w:val="24"/>
                <w:szCs w:val="24"/>
                <w:lang w:val="es-ES" w:eastAsia="es-ES"/>
              </w:rPr>
              <w:t xml:space="preserve">Horas Semanales </w:t>
            </w:r>
          </w:p>
        </w:tc>
        <w:tc>
          <w:tcPr>
            <w:tcW w:w="5495" w:type="dxa"/>
            <w:vAlign w:val="center"/>
          </w:tcPr>
          <w:p w14:paraId="06221CBC">
            <w:pPr>
              <w:spacing w:after="0"/>
              <w:rPr>
                <w:rFonts w:eastAsia="Times New Roman" w:asciiTheme="minorHAnsi" w:hAnsiTheme="minorHAnsi" w:cstheme="minorHAnsi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Cs/>
                <w:color w:val="000000"/>
                <w:sz w:val="24"/>
                <w:szCs w:val="24"/>
                <w:lang w:val="es-ES" w:eastAsia="es-ES"/>
              </w:rPr>
              <w:t>Hrs. Totales: 05         Teóricas: 03   Practicas: 02</w:t>
            </w:r>
          </w:p>
        </w:tc>
      </w:tr>
      <w:tr w14:paraId="15B01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6" w:type="dxa"/>
            <w:vAlign w:val="center"/>
          </w:tcPr>
          <w:p w14:paraId="7009E026">
            <w:pPr>
              <w:spacing w:after="0"/>
              <w:ind w:left="175"/>
              <w:rPr>
                <w:rFonts w:eastAsia="Times New Roman" w:asciiTheme="minorHAnsi" w:hAnsiTheme="minorHAnsi" w:cstheme="minorHAnsi"/>
                <w:b/>
                <w:bCs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iCs/>
                <w:color w:val="000000"/>
                <w:sz w:val="24"/>
                <w:szCs w:val="24"/>
                <w:lang w:val="es-ES" w:eastAsia="es-ES"/>
              </w:rPr>
              <w:t>Ciclo</w:t>
            </w:r>
          </w:p>
        </w:tc>
        <w:tc>
          <w:tcPr>
            <w:tcW w:w="5495" w:type="dxa"/>
            <w:vAlign w:val="center"/>
          </w:tcPr>
          <w:p w14:paraId="45E8F948">
            <w:pPr>
              <w:spacing w:after="0"/>
              <w:rPr>
                <w:rFonts w:eastAsia="Times New Roman" w:asciiTheme="minorHAnsi" w:hAnsiTheme="minorHAnsi" w:cstheme="minorHAnsi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Cs/>
                <w:color w:val="000000"/>
                <w:sz w:val="24"/>
                <w:szCs w:val="24"/>
                <w:lang w:val="es-ES" w:eastAsia="es-ES"/>
              </w:rPr>
              <w:t xml:space="preserve">IX – A </w:t>
            </w:r>
          </w:p>
        </w:tc>
      </w:tr>
    </w:tbl>
    <w:p w14:paraId="7CE1CF53">
      <w:pPr>
        <w:spacing w:after="0" w:line="276" w:lineRule="auto"/>
        <w:ind w:left="426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</w:p>
    <w:p w14:paraId="7DDB99D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  <w:r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  <w:t xml:space="preserve">SUMILLA </w:t>
      </w:r>
    </w:p>
    <w:p w14:paraId="6CA99C27">
      <w:pPr>
        <w:spacing w:after="0"/>
        <w:ind w:left="426"/>
        <w:jc w:val="both"/>
        <w:rPr>
          <w:rFonts w:eastAsia="Arial" w:asciiTheme="minorHAnsi" w:hAnsiTheme="minorHAnsi" w:cstheme="minorHAnsi"/>
          <w:sz w:val="24"/>
          <w:szCs w:val="24"/>
        </w:rPr>
      </w:pPr>
    </w:p>
    <w:p w14:paraId="41D87649">
      <w:pPr>
        <w:spacing w:after="0"/>
        <w:jc w:val="both"/>
        <w:rPr>
          <w:rFonts w:eastAsia="Arial" w:asciiTheme="minorHAnsi" w:hAnsiTheme="minorHAnsi" w:cstheme="minorHAnsi"/>
          <w:sz w:val="24"/>
          <w:szCs w:val="24"/>
        </w:rPr>
      </w:pPr>
      <w:r>
        <w:rPr>
          <w:rFonts w:eastAsia="Arial" w:asciiTheme="minorHAnsi" w:hAnsiTheme="minorHAnsi" w:cstheme="minorHAnsi"/>
          <w:sz w:val="24"/>
          <w:szCs w:val="24"/>
        </w:rPr>
        <w:t xml:space="preserve">La asignatura de ingeniería de la exportación es de naturaleza teórico – práctica. Pertenece al grupo de conocimientos formativos de la especialidad, tiene como finalidad propiciar en los estudiantes el cómo abordar profesionalmente la internacionalización utilizando las estrategias más modernas y seguras para realizar las exportaciones, previo un estudio del mercado. La asignatura proporcionará éstas habilidades bajo el desarrollo de los siguientes temas: </w:t>
      </w:r>
    </w:p>
    <w:p w14:paraId="7A6F9A8D">
      <w:pPr>
        <w:spacing w:after="0"/>
        <w:jc w:val="both"/>
        <w:rPr>
          <w:rFonts w:eastAsia="Arial" w:asciiTheme="minorHAnsi" w:hAnsiTheme="minorHAnsi" w:cstheme="minorHAnsi"/>
          <w:sz w:val="24"/>
          <w:szCs w:val="24"/>
        </w:rPr>
      </w:pPr>
    </w:p>
    <w:p w14:paraId="283E9A93">
      <w:pPr>
        <w:spacing w:after="0"/>
        <w:jc w:val="both"/>
        <w:rPr>
          <w:rFonts w:eastAsia="Arial" w:asciiTheme="minorHAnsi" w:hAnsiTheme="minorHAnsi" w:cstheme="minorHAnsi"/>
          <w:sz w:val="24"/>
          <w:szCs w:val="24"/>
        </w:rPr>
      </w:pPr>
      <w:r>
        <w:rPr>
          <w:rFonts w:eastAsia="Arial" w:asciiTheme="minorHAnsi" w:hAnsiTheme="minorHAnsi" w:cstheme="minorHAnsi"/>
          <w:sz w:val="24"/>
          <w:szCs w:val="24"/>
        </w:rPr>
        <w:t xml:space="preserve">El plan de internacionalización y el apoyo con orientación para la exportación. Importancia de la información para internacionalizar su empresa. Importancia de la información para internacionalizar su empresa. La marca y calidad de producción La gestión del comercio exterior en la empresa. </w:t>
      </w:r>
    </w:p>
    <w:p w14:paraId="04BCBAE5">
      <w:pPr>
        <w:spacing w:after="0"/>
        <w:jc w:val="both"/>
        <w:rPr>
          <w:rFonts w:eastAsia="Arial" w:asciiTheme="minorHAnsi" w:hAnsiTheme="minorHAnsi" w:cstheme="minorHAnsi"/>
          <w:sz w:val="24"/>
          <w:szCs w:val="24"/>
        </w:rPr>
      </w:pPr>
    </w:p>
    <w:p w14:paraId="575A8D3A">
      <w:pPr>
        <w:spacing w:after="0"/>
        <w:jc w:val="both"/>
        <w:rPr>
          <w:rFonts w:eastAsia="Arial" w:asciiTheme="minorHAnsi" w:hAnsiTheme="minorHAnsi" w:cstheme="minorHAnsi"/>
          <w:b/>
          <w:bCs/>
          <w:sz w:val="24"/>
          <w:szCs w:val="24"/>
        </w:rPr>
      </w:pPr>
      <w:r>
        <w:rPr>
          <w:rFonts w:eastAsia="Arial" w:asciiTheme="minorHAnsi" w:hAnsiTheme="minorHAnsi" w:cstheme="minorHAnsi"/>
          <w:b/>
          <w:bCs/>
          <w:sz w:val="24"/>
          <w:szCs w:val="24"/>
        </w:rPr>
        <w:t>COMPETENCIA DE LA ASIGNATURA</w:t>
      </w:r>
    </w:p>
    <w:p w14:paraId="47E8C016">
      <w:pPr>
        <w:spacing w:after="0"/>
        <w:jc w:val="both"/>
        <w:rPr>
          <w:rFonts w:eastAsia="Arial" w:asciiTheme="minorHAnsi" w:hAnsiTheme="minorHAnsi" w:cstheme="minorHAnsi"/>
          <w:bCs/>
          <w:sz w:val="24"/>
          <w:szCs w:val="24"/>
        </w:rPr>
      </w:pPr>
      <w:r>
        <w:rPr>
          <w:rFonts w:eastAsia="Arial" w:asciiTheme="minorHAnsi" w:hAnsiTheme="minorHAnsi" w:cstheme="minorHAnsi"/>
          <w:bCs/>
          <w:sz w:val="24"/>
          <w:szCs w:val="24"/>
        </w:rPr>
        <w:t xml:space="preserve">Conoce, analiza y   aplica los documentos normativos de la exportación, teniendo en cuenta todo los pasos que deben seguirse teniendo en cuenta las normas de los países donde se hace la exportación. </w:t>
      </w:r>
    </w:p>
    <w:p w14:paraId="471DF9E9">
      <w:pPr>
        <w:spacing w:after="0"/>
        <w:jc w:val="both"/>
        <w:rPr>
          <w:rFonts w:eastAsia="Arial" w:asciiTheme="minorHAnsi" w:hAnsiTheme="minorHAnsi" w:cstheme="minorHAnsi"/>
          <w:b/>
          <w:sz w:val="24"/>
          <w:szCs w:val="24"/>
        </w:rPr>
      </w:pPr>
    </w:p>
    <w:p w14:paraId="64094B64">
      <w:pPr>
        <w:spacing w:after="0"/>
        <w:jc w:val="both"/>
        <w:rPr>
          <w:rFonts w:eastAsia="Arial" w:asciiTheme="minorHAnsi" w:hAnsiTheme="minorHAnsi" w:cstheme="minorHAnsi"/>
          <w:sz w:val="24"/>
          <w:szCs w:val="24"/>
        </w:rPr>
      </w:pPr>
      <w:r>
        <w:rPr>
          <w:rFonts w:eastAsia="Arial" w:asciiTheme="minorHAnsi" w:hAnsiTheme="minorHAnsi" w:cstheme="minorHAnsi"/>
          <w:b/>
          <w:sz w:val="24"/>
          <w:szCs w:val="24"/>
        </w:rPr>
        <w:t>Unidad I</w:t>
      </w:r>
      <w:r>
        <w:rPr>
          <w:rFonts w:eastAsia="Arial" w:asciiTheme="minorHAnsi" w:hAnsiTheme="minorHAnsi" w:cstheme="minorHAnsi"/>
          <w:sz w:val="24"/>
          <w:szCs w:val="24"/>
        </w:rPr>
        <w:t>: El plan de internacionalización y el apoyo con orientación para la exportación.</w:t>
      </w:r>
    </w:p>
    <w:p w14:paraId="539E1CCF">
      <w:pPr>
        <w:spacing w:after="0"/>
        <w:jc w:val="both"/>
        <w:rPr>
          <w:rFonts w:eastAsia="Arial" w:asciiTheme="minorHAnsi" w:hAnsiTheme="minorHAnsi" w:cstheme="minorHAnsi"/>
          <w:sz w:val="24"/>
          <w:szCs w:val="24"/>
        </w:rPr>
      </w:pPr>
      <w:r>
        <w:rPr>
          <w:rFonts w:eastAsia="Arial" w:asciiTheme="minorHAnsi" w:hAnsiTheme="minorHAnsi" w:cstheme="minorHAnsi"/>
          <w:b/>
          <w:sz w:val="24"/>
          <w:szCs w:val="24"/>
        </w:rPr>
        <w:t>Unidad II</w:t>
      </w:r>
      <w:r>
        <w:rPr>
          <w:rFonts w:eastAsia="Arial" w:asciiTheme="minorHAnsi" w:hAnsiTheme="minorHAnsi" w:cstheme="minorHAnsi"/>
          <w:sz w:val="24"/>
          <w:szCs w:val="24"/>
        </w:rPr>
        <w:t>: Importancia de la información para internacionalizar su empresa.</w:t>
      </w:r>
    </w:p>
    <w:p w14:paraId="73C41719">
      <w:pPr>
        <w:spacing w:after="0"/>
        <w:jc w:val="both"/>
        <w:rPr>
          <w:rFonts w:eastAsia="Arial" w:asciiTheme="minorHAnsi" w:hAnsiTheme="minorHAnsi" w:cstheme="minorHAnsi"/>
          <w:sz w:val="24"/>
          <w:szCs w:val="24"/>
        </w:rPr>
      </w:pPr>
      <w:r>
        <w:rPr>
          <w:rFonts w:eastAsia="Arial" w:asciiTheme="minorHAnsi" w:hAnsiTheme="minorHAnsi" w:cstheme="minorHAnsi"/>
          <w:b/>
          <w:sz w:val="24"/>
          <w:szCs w:val="24"/>
        </w:rPr>
        <w:t>Unidad III</w:t>
      </w:r>
      <w:r>
        <w:rPr>
          <w:rFonts w:eastAsia="Arial" w:asciiTheme="minorHAnsi" w:hAnsiTheme="minorHAnsi" w:cstheme="minorHAnsi"/>
          <w:sz w:val="24"/>
          <w:szCs w:val="24"/>
        </w:rPr>
        <w:t xml:space="preserve">: La marca y calidad de producción </w:t>
      </w:r>
    </w:p>
    <w:p w14:paraId="44B71B7C">
      <w:pPr>
        <w:spacing w:after="0"/>
        <w:jc w:val="both"/>
        <w:rPr>
          <w:rFonts w:eastAsia="Arial" w:asciiTheme="minorHAnsi" w:hAnsiTheme="minorHAnsi" w:cstheme="minorHAnsi"/>
          <w:sz w:val="24"/>
          <w:szCs w:val="24"/>
        </w:rPr>
      </w:pPr>
      <w:r>
        <w:rPr>
          <w:rFonts w:eastAsia="Arial" w:asciiTheme="minorHAnsi" w:hAnsiTheme="minorHAnsi" w:cstheme="minorHAnsi"/>
          <w:b/>
          <w:sz w:val="24"/>
          <w:szCs w:val="24"/>
        </w:rPr>
        <w:t>Unidad IV</w:t>
      </w:r>
      <w:r>
        <w:rPr>
          <w:rFonts w:eastAsia="Arial" w:asciiTheme="minorHAnsi" w:hAnsiTheme="minorHAnsi" w:cstheme="minorHAnsi"/>
          <w:sz w:val="24"/>
          <w:szCs w:val="24"/>
        </w:rPr>
        <w:t>: La gestión del comercio exterior en la empresa</w:t>
      </w:r>
    </w:p>
    <w:p w14:paraId="3FA63233">
      <w:pPr>
        <w:spacing w:after="0" w:line="240" w:lineRule="auto"/>
        <w:rPr>
          <w:rFonts w:eastAsia="Arial" w:asciiTheme="minorHAnsi" w:hAnsiTheme="minorHAnsi" w:cstheme="minorHAnsi"/>
          <w:sz w:val="24"/>
          <w:szCs w:val="24"/>
        </w:rPr>
      </w:pPr>
      <w:r>
        <w:rPr>
          <w:rFonts w:eastAsia="Arial" w:asciiTheme="minorHAnsi" w:hAnsiTheme="minorHAnsi" w:cstheme="minorHAnsi"/>
          <w:sz w:val="24"/>
          <w:szCs w:val="24"/>
        </w:rPr>
        <w:br w:type="page"/>
      </w:r>
    </w:p>
    <w:p w14:paraId="65E0934F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  <w:r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  <w:t>CAPACIDADES AL FINALIZAR EL CURSO</w:t>
      </w:r>
    </w:p>
    <w:p w14:paraId="73803428">
      <w:pPr>
        <w:spacing w:after="0" w:line="276" w:lineRule="auto"/>
        <w:ind w:left="567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</w:p>
    <w:tbl>
      <w:tblPr>
        <w:tblStyle w:val="5"/>
        <w:tblW w:w="8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4009"/>
        <w:gridCol w:w="2789"/>
        <w:gridCol w:w="1360"/>
      </w:tblGrid>
      <w:tr w14:paraId="6E9EE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5DE968">
            <w:pPr>
              <w:spacing w:after="0"/>
              <w:ind w:left="567" w:right="-500" w:firstLine="425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</w:p>
        </w:tc>
        <w:tc>
          <w:tcPr>
            <w:tcW w:w="40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5CFEC75">
            <w:pPr>
              <w:spacing w:after="0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CAPACIDAD DE LA UNIDAD DIDÁCTICA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74AF2EC0">
            <w:pPr>
              <w:spacing w:after="0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NOMBRE DE LA UNIDAD DIDÁCTICA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FA16B51">
            <w:pPr>
              <w:spacing w:after="0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SEMANAS</w:t>
            </w:r>
          </w:p>
        </w:tc>
      </w:tr>
      <w:tr w14:paraId="67F38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9" w:hRule="exact"/>
          <w:jc w:val="center"/>
        </w:trPr>
        <w:tc>
          <w:tcPr>
            <w:tcW w:w="715" w:type="dxa"/>
            <w:tcBorders>
              <w:top w:val="single" w:color="auto" w:sz="4" w:space="0"/>
            </w:tcBorders>
            <w:shd w:val="clear" w:color="auto" w:fill="A6A6A6"/>
            <w:textDirection w:val="btLr"/>
            <w:vAlign w:val="center"/>
          </w:tcPr>
          <w:p w14:paraId="62210FAB">
            <w:pPr>
              <w:spacing w:after="0"/>
              <w:ind w:left="113" w:right="113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 xml:space="preserve">UNIDAD </w:t>
            </w:r>
          </w:p>
          <w:p w14:paraId="29630431">
            <w:pPr>
              <w:spacing w:after="0"/>
              <w:ind w:left="113" w:right="113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I</w:t>
            </w:r>
          </w:p>
        </w:tc>
        <w:tc>
          <w:tcPr>
            <w:tcW w:w="4009" w:type="dxa"/>
            <w:shd w:val="clear" w:color="auto" w:fill="auto"/>
            <w:vAlign w:val="center"/>
          </w:tcPr>
          <w:p w14:paraId="56A482F2">
            <w:pPr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Identificar las fases clave en el proceso de internacionalización de la empresa, y aplicar estrategias de exportación según los mercados objetivo y características del negocio.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00407222">
            <w:pPr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EL PLAN DE INTERNACIONALIZACIÓN Y EL APOYO CON ORIENTACIÓN PARA LA EXPORTACIÓN.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3672B43">
            <w:pPr>
              <w:spacing w:after="0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1-4</w:t>
            </w:r>
          </w:p>
        </w:tc>
      </w:tr>
      <w:tr w14:paraId="0E13F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9" w:hRule="atLeast"/>
          <w:jc w:val="center"/>
        </w:trPr>
        <w:tc>
          <w:tcPr>
            <w:tcW w:w="715" w:type="dxa"/>
            <w:shd w:val="clear" w:color="auto" w:fill="A6A6A6"/>
            <w:textDirection w:val="btLr"/>
            <w:vAlign w:val="center"/>
          </w:tcPr>
          <w:p w14:paraId="04FF1022">
            <w:pPr>
              <w:spacing w:after="0"/>
              <w:ind w:left="113" w:right="113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UNIDAD</w:t>
            </w:r>
          </w:p>
          <w:p w14:paraId="481AA352">
            <w:pPr>
              <w:spacing w:after="0"/>
              <w:ind w:left="113" w:right="113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II</w:t>
            </w:r>
          </w:p>
        </w:tc>
        <w:tc>
          <w:tcPr>
            <w:tcW w:w="4009" w:type="dxa"/>
            <w:shd w:val="clear" w:color="auto" w:fill="auto"/>
            <w:vAlign w:val="center"/>
          </w:tcPr>
          <w:p w14:paraId="40F858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Analizar las fuentes de información relevantes para la internacionalización, evaluando el entorno económico y normativo de los mercados internacionales.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1271C765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IMPORTANCIA DE LA INFORMACIÓN PARA INTERNACIONALIZAR SU EMPRESA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1FB3B05">
            <w:pPr>
              <w:spacing w:after="0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5-8</w:t>
            </w:r>
          </w:p>
        </w:tc>
      </w:tr>
      <w:tr w14:paraId="13663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8" w:hRule="atLeast"/>
          <w:jc w:val="center"/>
        </w:trPr>
        <w:tc>
          <w:tcPr>
            <w:tcW w:w="715" w:type="dxa"/>
            <w:shd w:val="clear" w:color="auto" w:fill="A6A6A6"/>
            <w:textDirection w:val="btLr"/>
            <w:vAlign w:val="center"/>
          </w:tcPr>
          <w:p w14:paraId="2E780AEA">
            <w:pPr>
              <w:spacing w:after="0"/>
              <w:ind w:left="113" w:right="113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UNIDAD</w:t>
            </w:r>
          </w:p>
          <w:p w14:paraId="4E478F65">
            <w:pPr>
              <w:spacing w:after="0"/>
              <w:ind w:left="113" w:right="113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III</w:t>
            </w:r>
          </w:p>
        </w:tc>
        <w:tc>
          <w:tcPr>
            <w:tcW w:w="4009" w:type="dxa"/>
            <w:shd w:val="clear" w:color="auto" w:fill="auto"/>
            <w:vAlign w:val="center"/>
          </w:tcPr>
          <w:p w14:paraId="2A54EE1C">
            <w:pPr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Desarrollar estrategias para posicionar la marca en mercados internacionales, garantizando los estándares de calidad en la producción para competir globalmente.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173F688A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LA MARCA Y CALIDAD DE PRODUCCIÓN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69A2ABB">
            <w:pPr>
              <w:spacing w:after="0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9-12</w:t>
            </w:r>
          </w:p>
        </w:tc>
      </w:tr>
      <w:tr w14:paraId="1FC3D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3" w:hRule="atLeast"/>
          <w:jc w:val="center"/>
        </w:trPr>
        <w:tc>
          <w:tcPr>
            <w:tcW w:w="715" w:type="dxa"/>
            <w:shd w:val="clear" w:color="auto" w:fill="A6A6A6"/>
            <w:textDirection w:val="btLr"/>
            <w:vAlign w:val="center"/>
          </w:tcPr>
          <w:p w14:paraId="531B98CB">
            <w:pPr>
              <w:spacing w:after="0"/>
              <w:ind w:left="113" w:right="113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UNIDAD</w:t>
            </w:r>
          </w:p>
          <w:p w14:paraId="64C17E8F">
            <w:pPr>
              <w:spacing w:after="0"/>
              <w:ind w:left="113" w:right="113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IV</w:t>
            </w:r>
          </w:p>
        </w:tc>
        <w:tc>
          <w:tcPr>
            <w:tcW w:w="4009" w:type="dxa"/>
            <w:shd w:val="clear" w:color="auto" w:fill="auto"/>
            <w:vAlign w:val="center"/>
          </w:tcPr>
          <w:p w14:paraId="6E21137B">
            <w:pPr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Implementar técnicas y herramientas de gestión aduanera, logística y normativa en el comercio exterior, optimizando los procesos de exportación e importación.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05F5463B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LA GESTIÓN DEL COMERCIO EXTERIOR EN LA EMPRESA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D93F251">
            <w:pPr>
              <w:spacing w:after="0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13-16</w:t>
            </w:r>
          </w:p>
        </w:tc>
      </w:tr>
    </w:tbl>
    <w:p w14:paraId="38699A70">
      <w:pPr>
        <w:spacing w:after="0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</w:p>
    <w:p w14:paraId="5DFFEF3E">
      <w:pPr>
        <w:spacing w:after="0" w:line="240" w:lineRule="auto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  <w:r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  <w:br w:type="page"/>
      </w:r>
    </w:p>
    <w:p w14:paraId="46568E4F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  <w:r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  <w:t>INDICADORES DE CAPACIDADES AL FINALIZAR EL CURSO</w:t>
      </w:r>
      <w:r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  <w:tab/>
      </w:r>
    </w:p>
    <w:p w14:paraId="019E3B74">
      <w:pPr>
        <w:spacing w:after="0" w:line="276" w:lineRule="auto"/>
        <w:ind w:left="567"/>
        <w:jc w:val="both"/>
        <w:rPr>
          <w:rFonts w:eastAsia="Times New Roman" w:asciiTheme="minorHAnsi" w:hAnsiTheme="minorHAnsi" w:cstheme="minorHAnsi"/>
          <w:b/>
          <w:iCs/>
          <w:sz w:val="24"/>
          <w:szCs w:val="24"/>
          <w:lang w:val="es-ES" w:eastAsia="es-ES"/>
        </w:rPr>
      </w:pPr>
    </w:p>
    <w:tbl>
      <w:tblPr>
        <w:tblStyle w:val="5"/>
        <w:tblW w:w="8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7649"/>
      </w:tblGrid>
      <w:tr w14:paraId="39001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6A6A6"/>
            <w:vAlign w:val="center"/>
          </w:tcPr>
          <w:p w14:paraId="2E5B80F2">
            <w:pPr>
              <w:spacing w:after="0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bookmarkStart w:id="0" w:name="_Hlk225335455"/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N°</w:t>
            </w:r>
          </w:p>
        </w:tc>
        <w:tc>
          <w:tcPr>
            <w:tcW w:w="7649" w:type="dxa"/>
            <w:shd w:val="clear" w:color="auto" w:fill="A6A6A6"/>
            <w:vAlign w:val="center"/>
          </w:tcPr>
          <w:p w14:paraId="076E996A">
            <w:pPr>
              <w:spacing w:after="0"/>
              <w:jc w:val="center"/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b/>
                <w:iCs/>
                <w:sz w:val="24"/>
                <w:szCs w:val="24"/>
                <w:lang w:val="es-ES" w:eastAsia="es-ES"/>
              </w:rPr>
              <w:t>INDICADORES DE CAPACIDAD AL FINALIZAR EL CURSO</w:t>
            </w:r>
          </w:p>
        </w:tc>
      </w:tr>
      <w:bookmarkEnd w:id="0"/>
      <w:tr w14:paraId="1D8E7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53EA24E6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7649" w:type="dxa"/>
            <w:shd w:val="clear" w:color="auto" w:fill="auto"/>
          </w:tcPr>
          <w:p w14:paraId="58966ADD">
            <w:pPr>
              <w:spacing w:after="0"/>
              <w:jc w:val="both"/>
            </w:pPr>
            <w:r>
              <w:rPr>
                <w:b/>
                <w:bCs/>
              </w:rPr>
              <w:t>Analiza</w:t>
            </w:r>
            <w:r>
              <w:t xml:space="preserve"> el panorama de la agroexportación mundial y nacional identificando oportunidades de negocio.</w:t>
            </w:r>
          </w:p>
        </w:tc>
      </w:tr>
      <w:tr w14:paraId="30E62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7E34EC31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7649" w:type="dxa"/>
            <w:shd w:val="clear" w:color="auto" w:fill="auto"/>
          </w:tcPr>
          <w:p w14:paraId="4F55FD60">
            <w:pPr>
              <w:spacing w:after="0"/>
              <w:jc w:val="both"/>
            </w:pPr>
            <w:r>
              <w:rPr>
                <w:b/>
                <w:bCs/>
              </w:rPr>
              <w:t>Explica</w:t>
            </w:r>
            <w:r>
              <w:t xml:space="preserve"> las fases del proceso de exportación y diferencia productos con potencial exportador.</w:t>
            </w:r>
          </w:p>
        </w:tc>
      </w:tr>
      <w:tr w14:paraId="51D54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07DFF38E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7649" w:type="dxa"/>
            <w:shd w:val="clear" w:color="auto" w:fill="auto"/>
          </w:tcPr>
          <w:p w14:paraId="358F3447">
            <w:pPr>
              <w:spacing w:after="0"/>
              <w:jc w:val="both"/>
            </w:pPr>
            <w:r>
              <w:rPr>
                <w:b/>
                <w:bCs/>
              </w:rPr>
              <w:t>Diseña</w:t>
            </w:r>
            <w:r>
              <w:t xml:space="preserve"> un modelo de negocio orientado a la exportación con enfoque de mercado internacional.</w:t>
            </w:r>
          </w:p>
        </w:tc>
      </w:tr>
      <w:tr w14:paraId="0442E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7E691F8D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7649" w:type="dxa"/>
            <w:shd w:val="clear" w:color="auto" w:fill="auto"/>
          </w:tcPr>
          <w:p w14:paraId="21EC609B">
            <w:pPr>
              <w:spacing w:after="0"/>
              <w:jc w:val="both"/>
            </w:pPr>
            <w:r>
              <w:rPr>
                <w:b/>
                <w:bCs/>
              </w:rPr>
              <w:t>Identifica</w:t>
            </w:r>
            <w:r>
              <w:t xml:space="preserve"> los actores de la cadena logística y utiliza herramientas de promoción de exportaciones.</w:t>
            </w:r>
          </w:p>
        </w:tc>
      </w:tr>
      <w:tr w14:paraId="18CF3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14DFC709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7649" w:type="dxa"/>
            <w:shd w:val="clear" w:color="auto" w:fill="auto"/>
          </w:tcPr>
          <w:p w14:paraId="67E35F63">
            <w:pPr>
              <w:spacing w:after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Utiliza</w:t>
            </w:r>
            <w:r>
              <w:t xml:space="preserve"> herramientas de inteligencia comercial para identificar mercados potenciales.</w:t>
            </w:r>
          </w:p>
        </w:tc>
      </w:tr>
      <w:tr w14:paraId="4CB2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61ABA5AF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7649" w:type="dxa"/>
            <w:shd w:val="clear" w:color="auto" w:fill="auto"/>
          </w:tcPr>
          <w:p w14:paraId="11001F04">
            <w:pPr>
              <w:spacing w:after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Describe</w:t>
            </w:r>
            <w:r>
              <w:t xml:space="preserve"> los documentos requeridos en una operación de exportación.</w:t>
            </w:r>
          </w:p>
        </w:tc>
      </w:tr>
      <w:tr w14:paraId="66693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7AD51D48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7649" w:type="dxa"/>
            <w:shd w:val="clear" w:color="auto" w:fill="auto"/>
          </w:tcPr>
          <w:p w14:paraId="5CD159A7">
            <w:pPr>
              <w:spacing w:after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Completa</w:t>
            </w:r>
            <w:r>
              <w:t xml:space="preserve"> correctamente documentos de exportación para transporte marítimo y aéreo.</w:t>
            </w:r>
          </w:p>
        </w:tc>
      </w:tr>
      <w:tr w14:paraId="09565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6D7B8ACB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7649" w:type="dxa"/>
            <w:shd w:val="clear" w:color="auto" w:fill="auto"/>
          </w:tcPr>
          <w:p w14:paraId="37887752">
            <w:pPr>
              <w:spacing w:after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Calcula</w:t>
            </w:r>
            <w:r>
              <w:t xml:space="preserve"> los costos asociados al proceso de exportación.</w:t>
            </w:r>
          </w:p>
        </w:tc>
      </w:tr>
      <w:tr w14:paraId="195B3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51175C8E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9</w:t>
            </w:r>
          </w:p>
        </w:tc>
        <w:tc>
          <w:tcPr>
            <w:tcW w:w="7649" w:type="dxa"/>
            <w:shd w:val="clear" w:color="auto" w:fill="auto"/>
          </w:tcPr>
          <w:p w14:paraId="0846A601">
            <w:pPr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Explica</w:t>
            </w:r>
            <w:r>
              <w:t xml:space="preserve"> la logística de comercialización en agroexportaciones.</w:t>
            </w:r>
          </w:p>
        </w:tc>
      </w:tr>
      <w:tr w14:paraId="5F089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5B2DBC98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10</w:t>
            </w:r>
          </w:p>
        </w:tc>
        <w:tc>
          <w:tcPr>
            <w:tcW w:w="7649" w:type="dxa"/>
            <w:shd w:val="clear" w:color="auto" w:fill="auto"/>
          </w:tcPr>
          <w:p w14:paraId="04A8E93E">
            <w:pPr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Determina</w:t>
            </w:r>
            <w:r>
              <w:t xml:space="preserve"> el tipo de envase y embalaje según el producto y mercado.</w:t>
            </w:r>
          </w:p>
        </w:tc>
      </w:tr>
      <w:tr w14:paraId="24F3F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66A4A83A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11</w:t>
            </w:r>
          </w:p>
        </w:tc>
        <w:tc>
          <w:tcPr>
            <w:tcW w:w="7649" w:type="dxa"/>
            <w:shd w:val="clear" w:color="auto" w:fill="auto"/>
          </w:tcPr>
          <w:p w14:paraId="55D69A8D">
            <w:pPr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Identifica</w:t>
            </w:r>
            <w:r>
              <w:t xml:space="preserve"> los principales puertos del mundo y tipos de buques de carga.</w:t>
            </w:r>
          </w:p>
        </w:tc>
      </w:tr>
      <w:tr w14:paraId="5753C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3EA91BAA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12</w:t>
            </w:r>
          </w:p>
        </w:tc>
        <w:tc>
          <w:tcPr>
            <w:tcW w:w="7649" w:type="dxa"/>
            <w:shd w:val="clear" w:color="auto" w:fill="auto"/>
          </w:tcPr>
          <w:p w14:paraId="789716D4">
            <w:pPr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Aplica</w:t>
            </w:r>
            <w:r>
              <w:t xml:space="preserve"> técnicas de almacenamiento y manipulación de carga.</w:t>
            </w:r>
          </w:p>
        </w:tc>
      </w:tr>
      <w:tr w14:paraId="37E57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1BB3E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13</w:t>
            </w:r>
          </w:p>
        </w:tc>
        <w:tc>
          <w:tcPr>
            <w:tcW w:w="7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79209F">
            <w:pPr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Explica</w:t>
            </w:r>
            <w:r>
              <w:t xml:space="preserve"> el funcionamiento de los medios de pago internacionales.</w:t>
            </w:r>
          </w:p>
        </w:tc>
      </w:tr>
      <w:tr w14:paraId="5D92D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2A09D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7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18982E">
            <w:pPr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Identifica</w:t>
            </w:r>
            <w:r>
              <w:t xml:space="preserve"> certificaciones necesarias para exportar productos.</w:t>
            </w:r>
          </w:p>
        </w:tc>
      </w:tr>
      <w:tr w14:paraId="0F2DE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7807C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15</w:t>
            </w:r>
          </w:p>
        </w:tc>
        <w:tc>
          <w:tcPr>
            <w:tcW w:w="7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3902D0">
            <w:pPr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Diseña</w:t>
            </w:r>
            <w:r>
              <w:t xml:space="preserve"> estrategias de promoción para mercados internacionales.</w:t>
            </w:r>
          </w:p>
        </w:tc>
      </w:tr>
      <w:tr w14:paraId="3CEC7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CBB05">
            <w:pPr>
              <w:spacing w:after="0"/>
              <w:contextualSpacing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  <w:lang w:val="es-ES" w:eastAsia="es-ES"/>
              </w:rPr>
              <w:t>16</w:t>
            </w:r>
          </w:p>
        </w:tc>
        <w:tc>
          <w:tcPr>
            <w:tcW w:w="7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4F93F8">
            <w:pPr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Calcula</w:t>
            </w:r>
            <w:r>
              <w:t xml:space="preserve"> correctamente el beneficio del drawback en exportaciones.</w:t>
            </w:r>
          </w:p>
        </w:tc>
      </w:tr>
    </w:tbl>
    <w:p w14:paraId="56111603">
      <w:pPr>
        <w:rPr>
          <w:rFonts w:asciiTheme="minorHAnsi" w:hAnsiTheme="minorHAnsi" w:cstheme="minorHAnsi"/>
          <w:sz w:val="24"/>
          <w:szCs w:val="24"/>
        </w:rPr>
        <w:sectPr>
          <w:footerReference r:id="rId5" w:type="default"/>
          <w:pgSz w:w="11906" w:h="16838"/>
          <w:pgMar w:top="1417" w:right="1701" w:bottom="1417" w:left="1701" w:header="708" w:footer="567" w:gutter="0"/>
          <w:cols w:space="708" w:num="1"/>
          <w:docGrid w:linePitch="360" w:charSpace="0"/>
        </w:sectPr>
      </w:pPr>
    </w:p>
    <w:p w14:paraId="68864947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bookmarkStart w:id="1" w:name="OLE_LINK3"/>
      <w:r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  <w:t>DESARROLLO DE LAS UNIDADES DIDÁCTICAS:</w:t>
      </w:r>
    </w:p>
    <w:p w14:paraId="02B620FB">
      <w:pPr>
        <w:spacing w:after="0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</w:p>
    <w:tbl>
      <w:tblPr>
        <w:tblStyle w:val="5"/>
        <w:tblW w:w="14833" w:type="dxa"/>
        <w:tblInd w:w="-214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836"/>
        <w:gridCol w:w="1007"/>
        <w:gridCol w:w="3355"/>
        <w:gridCol w:w="299"/>
        <w:gridCol w:w="1827"/>
        <w:gridCol w:w="2166"/>
        <w:gridCol w:w="764"/>
        <w:gridCol w:w="1404"/>
        <w:gridCol w:w="3175"/>
      </w:tblGrid>
      <w:tr w14:paraId="6722D3B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67" w:hRule="atLeast"/>
        </w:trPr>
        <w:tc>
          <w:tcPr>
            <w:tcW w:w="8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201BFE26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UNIDAD DIDÁCTICA I: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EL PLAN DE INTERNACIONALIZACIÓN Y EL APOYO CON ORIENTACIÓN PARA LA EXPORTACIÓN</w:t>
            </w:r>
          </w:p>
          <w:p w14:paraId="6CF1BDCA">
            <w:pPr>
              <w:spacing w:after="0"/>
              <w:jc w:val="both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9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6A6A6"/>
            <w:vAlign w:val="center"/>
          </w:tcPr>
          <w:p w14:paraId="110AD1E4">
            <w:pPr>
              <w:spacing w:after="0"/>
              <w:rPr>
                <w:rFonts w:ascii="Arial" w:hAnsi="Arial" w:eastAsia="Times New Roman" w:cs="Arial"/>
                <w:b/>
                <w:i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iCs/>
                <w:color w:val="000000"/>
                <w:sz w:val="20"/>
                <w:szCs w:val="20"/>
                <w:lang w:eastAsia="es-PE"/>
              </w:rPr>
              <w:t>CAPACIDAD DE LA UNIDAD DIDÁCTICA I:</w:t>
            </w:r>
            <w:r>
              <w:rPr>
                <w:rFonts w:ascii="Arial" w:hAnsi="Arial" w:eastAsia="Times New Roman" w:cs="Arial"/>
                <w:iCs/>
                <w:color w:val="000000"/>
                <w:sz w:val="20"/>
                <w:szCs w:val="20"/>
                <w:lang w:eastAsia="es-PE"/>
              </w:rPr>
              <w:t xml:space="preserve"> 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Identificar las fases clave en el proceso de internacionalización de la empresa, y aplicar estrategias de exportación según los mercados objetivo y características del negocio.</w:t>
            </w:r>
          </w:p>
        </w:tc>
      </w:tr>
      <w:tr w14:paraId="2402542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259" w:hRule="atLeast"/>
        </w:trPr>
        <w:tc>
          <w:tcPr>
            <w:tcW w:w="8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203286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43F16DE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76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35D3AD6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1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AA6E4B5">
            <w:pPr>
              <w:spacing w:after="0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PE"/>
              </w:rPr>
              <w:t>ESTRATEGIAS DIDÁCTICAS</w:t>
            </w:r>
          </w:p>
        </w:tc>
        <w:tc>
          <w:tcPr>
            <w:tcW w:w="3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FA0B9BD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14:paraId="1B444CD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319" w:hRule="atLeast"/>
        </w:trPr>
        <w:tc>
          <w:tcPr>
            <w:tcW w:w="8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639432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8F9D5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7D55F01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4FAAA8AA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2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611572F9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16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0EE8A5E8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17AE5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14:paraId="420811E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1529" w:hRule="atLeast"/>
        </w:trPr>
        <w:tc>
          <w:tcPr>
            <w:tcW w:w="83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64520BD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05A875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051C7A62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1</w:t>
            </w:r>
          </w:p>
          <w:p w14:paraId="308FA7F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122B8893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2B231AB6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3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AAD0F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Introducción a la Ingeniería de Exportación y Clasificación Arancelaria</w:t>
            </w:r>
          </w:p>
          <w:p w14:paraId="3E97A470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Panorama de la agroexportación e industria global y nacional.</w:t>
            </w:r>
          </w:p>
          <w:p w14:paraId="4E89C25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Nomenclatura y clasificación arancelaria.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9C7831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Identifica la subpartida nacional (HS Code) del producto seleccionado.</w:t>
            </w:r>
          </w:p>
          <w:p w14:paraId="48A370B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Mapea flujos de exportación iniciales.</w:t>
            </w:r>
          </w:p>
        </w:tc>
        <w:tc>
          <w:tcPr>
            <w:tcW w:w="2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68D83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Valora el rol de las exportaciones en el desarrollo económico.</w:t>
            </w:r>
          </w:p>
        </w:tc>
        <w:tc>
          <w:tcPr>
            <w:tcW w:w="21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67AD0A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Clase magistral interactiva.</w:t>
            </w:r>
          </w:p>
          <w:p w14:paraId="19C4B472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• Búsqueda en 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SUNAT Operatividad Aduanera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.</w:t>
            </w:r>
          </w:p>
          <w:p w14:paraId="48C5D92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Taller de conformación de equipos.</w:t>
            </w:r>
          </w:p>
        </w:tc>
        <w:tc>
          <w:tcPr>
            <w:tcW w:w="3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8F60D3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jc w:val="both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Clasifica arancelariamente el producto seleccionado.</w:t>
            </w:r>
          </w:p>
          <w:p w14:paraId="7FE6567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Evaluación Formativa (Fichaje):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Definición de producto, equipo y subpartida nacional.</w:t>
            </w:r>
          </w:p>
        </w:tc>
      </w:tr>
      <w:tr w14:paraId="6C3E685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1616" w:hRule="atLeast"/>
        </w:trPr>
        <w:tc>
          <w:tcPr>
            <w:tcW w:w="83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AA47D4D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67C266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5E998B36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3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431589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Herramientas de Inteligencia Comercial y Requisitos Técnicos de Acceso</w:t>
            </w:r>
          </w:p>
          <w:p w14:paraId="69BF6C4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Bases de datos internacionales.</w:t>
            </w:r>
          </w:p>
          <w:p w14:paraId="5A1EAC9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Preferencias arancelarias y TLCs.</w:t>
            </w:r>
          </w:p>
          <w:p w14:paraId="3E35721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Requisitos sanitarios y fitosanitarios (SENASA, FDA, EFSA).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2AB31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Utiliza plataformas digitales para analizar flujos comerciales y requisitos de acceso agrícola/industrial.</w:t>
            </w:r>
          </w:p>
        </w:tc>
        <w:tc>
          <w:tcPr>
            <w:tcW w:w="2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25462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Demuestra responsabilidad y rigor analítico en la investigación de datos.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014D56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• Taller en sala de cómputo/virtual usando 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TradeMap, MacMap, Market Access Map, SENASA Requisitos, FDA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.</w:t>
            </w:r>
          </w:p>
        </w:tc>
        <w:tc>
          <w:tcPr>
            <w:tcW w:w="3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B7F84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jc w:val="both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Evalúa las barreras arancelarias y no arancelarias para el ingreso a mercados potenciales.</w:t>
            </w:r>
          </w:p>
          <w:p w14:paraId="4D72AB11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Evaluación Formativa: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Ficha Técnica de Acceso y Barreras del Producto.</w:t>
            </w:r>
          </w:p>
        </w:tc>
      </w:tr>
      <w:tr w14:paraId="1B4F5AD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1605" w:hRule="atLeast"/>
        </w:trPr>
        <w:tc>
          <w:tcPr>
            <w:tcW w:w="83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136D62F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C3A29E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2F423D33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3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47E67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Matriz de Selección de Mercado Objetivo y Modelo Canvas Exportador</w:t>
            </w:r>
          </w:p>
          <w:p w14:paraId="2B92953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Metodología de filtrado (Matriz de Selección).</w:t>
            </w:r>
          </w:p>
          <w:p w14:paraId="0354B025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  <w:lang w:val="en-US"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Estrategias de entrada y Business Model Canvas Exportador.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8DF06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Aplica la matriz de selección para definir el mercado target y diseña la propuesta de valor exportable.</w:t>
            </w:r>
          </w:p>
        </w:tc>
        <w:tc>
          <w:tcPr>
            <w:tcW w:w="2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05AC5D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Muestra iniciativa e innovación en la propuesta comercial.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A3B050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Taller práctico de análisis de datos.</w:t>
            </w:r>
          </w:p>
          <w:p w14:paraId="6044B916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• Diagramación en 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Miro / Canva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.</w:t>
            </w:r>
          </w:p>
        </w:tc>
        <w:tc>
          <w:tcPr>
            <w:tcW w:w="3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D4B74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jc w:val="both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Determina el país destino objetivo y diseña la propuesta de valor adaptada al consumidor final.</w:t>
            </w:r>
          </w:p>
          <w:p w14:paraId="6427DD85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Evaluación Formativa: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Matriz Cuantitativa de Selección de Mercado.</w:t>
            </w:r>
          </w:p>
        </w:tc>
      </w:tr>
      <w:tr w14:paraId="02A6B9F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1036" w:hRule="atLeast"/>
        </w:trPr>
        <w:tc>
          <w:tcPr>
            <w:tcW w:w="83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E5C6383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4962730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60E3B699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33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31AEB87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Promoción Exportadora y Cadena de Valor (Modelo 5C)</w:t>
            </w:r>
          </w:p>
          <w:p w14:paraId="158B485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Análisis de la cadena de valor exportadora.</w:t>
            </w:r>
          </w:p>
          <w:p w14:paraId="5F8FC36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Instituciones y plataformas públicas/privadas (PROMPERÚ, SIICEX, ADEX).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2F84B775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Mapea los actores clave en la cadena de valor de su producto y explora herramientas de promoción.</w:t>
            </w:r>
          </w:p>
        </w:tc>
        <w:tc>
          <w:tcPr>
            <w:tcW w:w="216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117EC41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Valora la articulación pública y privada en la internacionalización.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5BA4126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• Taller interactivo en portales 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Exportemos.pe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y 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SIICEX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.</w:t>
            </w:r>
          </w:p>
          <w:p w14:paraId="7D946CF9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Presentación grupal.</w:t>
            </w:r>
          </w:p>
        </w:tc>
        <w:tc>
          <w:tcPr>
            <w:tcW w:w="31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76DEA7A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jc w:val="both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Entrega y Exposición Parte 1: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Diagnóstico del Producto, Subpartida Arancelaria, Informe de Acceso/Requisitos Técnicos, Selección del País Destino y Canvas Exportador.</w:t>
            </w:r>
          </w:p>
          <w:p w14:paraId="043940DD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jc w:val="both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i/>
                <w:iCs/>
                <w:color w:val="333333"/>
                <w:sz w:val="18"/>
                <w:szCs w:val="18"/>
                <w:u w:val="none"/>
                <w:vertAlign w:val="baseline"/>
              </w:rPr>
              <w:t>Criterio Evaluativo: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Rúbrica de sustento con bases de datos.</w:t>
            </w:r>
          </w:p>
        </w:tc>
      </w:tr>
      <w:tr w14:paraId="6AC2A30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305" w:hRule="atLeast"/>
        </w:trPr>
        <w:tc>
          <w:tcPr>
            <w:tcW w:w="8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5139E844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904BE0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9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BBBB2AD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  <w:lang w:eastAsia="es-PE"/>
              </w:rPr>
              <w:t>EVALUACIÓN DE LA UNIDAD DIDÁCTICA</w:t>
            </w:r>
          </w:p>
        </w:tc>
      </w:tr>
      <w:tr w14:paraId="3EADB42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249" w:hRule="atLeast"/>
        </w:trPr>
        <w:tc>
          <w:tcPr>
            <w:tcW w:w="8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47F58AC7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D9CD75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6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ABE131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  <w:lang w:eastAsia="es-PE"/>
              </w:rPr>
              <w:t>EVIDENCIA DE CONOCIMIENTOS</w:t>
            </w:r>
          </w:p>
        </w:tc>
        <w:tc>
          <w:tcPr>
            <w:tcW w:w="4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EAC68D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  <w:lang w:eastAsia="es-PE"/>
              </w:rPr>
              <w:t>EVIDENCIA DE PRODUCTO</w:t>
            </w:r>
          </w:p>
        </w:tc>
        <w:tc>
          <w:tcPr>
            <w:tcW w:w="45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8D00070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18"/>
                <w:szCs w:val="18"/>
                <w:lang w:eastAsia="es-PE"/>
              </w:rPr>
              <w:t>EVIDENCIA DE DESEMPEÑO</w:t>
            </w:r>
          </w:p>
        </w:tc>
      </w:tr>
      <w:tr w14:paraId="7FDC3FB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265" w:hRule="atLeast"/>
        </w:trPr>
        <w:tc>
          <w:tcPr>
            <w:tcW w:w="8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28E46853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83082D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6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DD7FE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  <w:t>Estudios de Casos</w:t>
            </w:r>
          </w:p>
          <w:p w14:paraId="7A8003A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  <w:t>Cuestionarios</w:t>
            </w:r>
          </w:p>
        </w:tc>
        <w:tc>
          <w:tcPr>
            <w:tcW w:w="4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17FB0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  <w:t>Trabajos individuales y/o grupales</w:t>
            </w:r>
          </w:p>
          <w:p w14:paraId="5F04FB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  <w:t>Soluciones a Ejercicios propuestos</w:t>
            </w:r>
          </w:p>
        </w:tc>
        <w:tc>
          <w:tcPr>
            <w:tcW w:w="45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D3CC84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  <w:t>Participación de clase.</w:t>
            </w:r>
          </w:p>
        </w:tc>
      </w:tr>
    </w:tbl>
    <w:p w14:paraId="3F84DC85">
      <w:pPr>
        <w:rPr>
          <w:rFonts w:ascii="Arial Narrow" w:hAnsi="Arial Narrow"/>
          <w:sz w:val="18"/>
          <w:szCs w:val="18"/>
        </w:rPr>
      </w:pPr>
    </w:p>
    <w:p w14:paraId="670CA52B">
      <w:pPr>
        <w:spacing w:after="0"/>
        <w:jc w:val="center"/>
        <w:rPr>
          <w:rFonts w:ascii="Arial Narrow" w:hAnsi="Arial Narrow" w:eastAsia="Times New Roman"/>
          <w:b/>
          <w:i/>
          <w:color w:val="000000"/>
          <w:sz w:val="18"/>
          <w:szCs w:val="18"/>
          <w:lang w:eastAsia="es-PE"/>
        </w:rPr>
      </w:pPr>
    </w:p>
    <w:tbl>
      <w:tblPr>
        <w:tblStyle w:val="5"/>
        <w:tblW w:w="14810" w:type="dxa"/>
        <w:tblInd w:w="-214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870"/>
        <w:gridCol w:w="1007"/>
        <w:gridCol w:w="3227"/>
        <w:gridCol w:w="558"/>
        <w:gridCol w:w="1843"/>
        <w:gridCol w:w="1985"/>
        <w:gridCol w:w="1003"/>
        <w:gridCol w:w="1190"/>
        <w:gridCol w:w="3127"/>
      </w:tblGrid>
      <w:tr w14:paraId="098A196E">
        <w:trPr>
          <w:cantSplit/>
          <w:trHeight w:val="567" w:hRule="atLeast"/>
        </w:trPr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6B294E11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cs="Arial"/>
                <w:sz w:val="20"/>
                <w:szCs w:val="20"/>
              </w:rPr>
              <w:br w:type="page"/>
            </w: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UNIDAD DIDÁCTICA II: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IMPORTANCIA DE LA INFORMACIÓN PARA INTERNACIONALIZAR SU EMPRESA</w:t>
            </w:r>
          </w:p>
          <w:p w14:paraId="2AA4CE26">
            <w:pPr>
              <w:spacing w:after="0"/>
              <w:jc w:val="both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6A6A6"/>
            <w:vAlign w:val="center"/>
          </w:tcPr>
          <w:p w14:paraId="0F8557E8">
            <w:pPr>
              <w:spacing w:after="0"/>
              <w:rPr>
                <w:rFonts w:ascii="Arial" w:hAnsi="Arial" w:eastAsia="Times New Roman" w:cs="Arial"/>
                <w:b/>
                <w:i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iCs/>
                <w:color w:val="000000"/>
                <w:sz w:val="20"/>
                <w:szCs w:val="20"/>
                <w:lang w:eastAsia="es-PE"/>
              </w:rPr>
              <w:t>CAPACIDAD DE LA UNIDAD DIDÁCTICA II:</w:t>
            </w:r>
            <w:r>
              <w:rPr>
                <w:rFonts w:ascii="Arial" w:hAnsi="Arial" w:eastAsia="Times New Roman" w:cs="Arial"/>
                <w:iCs/>
                <w:color w:val="000000"/>
                <w:sz w:val="20"/>
                <w:szCs w:val="20"/>
                <w:lang w:eastAsia="es-PE"/>
              </w:rPr>
              <w:t xml:space="preserve"> Analizar las fuentes de información relevantes para la internacionalización, evaluando el entorno económico y normativo de los mercados internacionales.</w:t>
            </w:r>
          </w:p>
        </w:tc>
      </w:tr>
      <w:tr w14:paraId="6A8D4AE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511" w:hRule="atLeast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FE42A4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24F5176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76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7F50B70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1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EC48CEC">
            <w:pPr>
              <w:spacing w:after="0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PE"/>
              </w:rPr>
              <w:t>ESTRATEGIAS DIDÁCTICAS</w:t>
            </w:r>
          </w:p>
        </w:tc>
        <w:tc>
          <w:tcPr>
            <w:tcW w:w="31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55F0D48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14:paraId="7D9C138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319" w:hRule="atLeast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80B37A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22470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5AECC3B6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481D13F4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1E9354A1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19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152267ED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1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9B4DB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14:paraId="7387B67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1642" w:hRule="atLeast"/>
        </w:trPr>
        <w:tc>
          <w:tcPr>
            <w:tcW w:w="870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7A5A69D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F5B205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01839A29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5</w:t>
            </w:r>
          </w:p>
          <w:p w14:paraId="30BDCE7E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1089CB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Gestión Documental del Proceso Exportador</w:t>
            </w:r>
          </w:p>
          <w:p w14:paraId="01F40F6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Factura Comercial (Commercial Invoice), Packing List, Certificado de Origen.</w:t>
            </w:r>
          </w:p>
          <w:p w14:paraId="73D642FD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Declaración Única de Aduanas (DUA/DAM).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67DEC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Simula el llenado correcto de los documentos comerciales y aduaneros requeridos para el embarque.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DAF2B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Evidencia precisión y minuciosidad en la gestión documental.</w:t>
            </w:r>
          </w:p>
        </w:tc>
        <w:tc>
          <w:tcPr>
            <w:tcW w:w="21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140012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Taller de simulación documental con formatos reales.</w:t>
            </w:r>
          </w:p>
          <w:p w14:paraId="266AE13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Revisión de casos de despacho aduanero.</w:t>
            </w:r>
          </w:p>
        </w:tc>
        <w:tc>
          <w:tcPr>
            <w:tcW w:w="3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B53B1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Redacta y valida el expediente documental requerido para la salida y entrada al mercado destino.</w:t>
            </w:r>
          </w:p>
          <w:p w14:paraId="134F29D2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Evaluación Formativa: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Dossier preliminar de documentos.</w:t>
            </w:r>
          </w:p>
        </w:tc>
      </w:tr>
      <w:tr w14:paraId="5BF566C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1679" w:hRule="atLeast"/>
        </w:trPr>
        <w:tc>
          <w:tcPr>
            <w:tcW w:w="870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86FD8D6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DE48E8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2C357CCA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6</w:t>
            </w:r>
          </w:p>
          <w:p w14:paraId="1B010D54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12690EFC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773AC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Documentos de Transporte Marítimo/Aéreo y Contratación Internacional</w:t>
            </w:r>
          </w:p>
          <w:p w14:paraId="6393F03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Knowledge of Loading (Bill of Lading - B/L), Guía Aérea (AWB).</w:t>
            </w:r>
          </w:p>
          <w:p w14:paraId="68D08401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Contrato de Compraventa Internacional (Cláusulas ICC).</w:t>
            </w:r>
          </w:p>
        </w:tc>
        <w:tc>
          <w:tcPr>
            <w:tcW w:w="24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8A8D1B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Analiza y completa borradores de conocimiento de embarque e inserta cláusulas clave de compraventa.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54132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Valora la seguridad jurídica en las transacciones internacionales.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53FD4D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Análisis de contratos tipo Incoterms 2020 / ICC.</w:t>
            </w:r>
          </w:p>
          <w:p w14:paraId="736E6D25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Ejercicios prácticos con B/L y AWB reales.</w:t>
            </w:r>
          </w:p>
        </w:tc>
        <w:tc>
          <w:tcPr>
            <w:tcW w:w="3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F995D2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Emite contratos de transporte y compraventa internacional sin errores formales.</w:t>
            </w:r>
          </w:p>
        </w:tc>
      </w:tr>
      <w:tr w14:paraId="0167A94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1295" w:hRule="atLeast"/>
        </w:trPr>
        <w:tc>
          <w:tcPr>
            <w:tcW w:w="870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0743FFF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C80ED3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3BFEC3C1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7</w:t>
            </w:r>
          </w:p>
          <w:p w14:paraId="37A8A6FE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5C1B3CFB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D137E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Estructura de Costos de Exportación e Incoterms</w:t>
            </w:r>
          </w:p>
          <w:p w14:paraId="3D38B522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Costos fijos, variables y directos de exportación.</w:t>
            </w:r>
          </w:p>
          <w:p w14:paraId="39448FAA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Reglas Incoterms 2020 aplicadas al precio (EXW, FOB, CFR, CIF, DDP).</w:t>
            </w:r>
          </w:p>
        </w:tc>
        <w:tc>
          <w:tcPr>
            <w:tcW w:w="24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F7A2CB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Construye el flujograma de costos de exportación acumulando valores según cada Incoterm.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2CF68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Muestra pensamiento crítico en la asignación de costos.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FA560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Taller práctico con hojas de cálculo en Excel / Plantillas de cotización exportadora.</w:t>
            </w:r>
          </w:p>
        </w:tc>
        <w:tc>
          <w:tcPr>
            <w:tcW w:w="3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3C5A35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Estructura la matriz de costos de exportación aplicando las reglas Incoterms adecuadamente.</w:t>
            </w:r>
          </w:p>
          <w:p w14:paraId="395A58D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Evaluación Formativa: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Flujograma de Costos Exportables.</w:t>
            </w:r>
          </w:p>
        </w:tc>
      </w:tr>
      <w:tr w14:paraId="3EE36F7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wAfter w:w="0" w:type="auto"/>
          <w:trHeight w:val="1355" w:hRule="atLeast"/>
        </w:trPr>
        <w:tc>
          <w:tcPr>
            <w:tcW w:w="870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0D4E4DB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025C488E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295827E5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8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794F95E1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Fijación de Precios de Exportación y Cotización Internacional</w:t>
            </w:r>
          </w:p>
          <w:p w14:paraId="2ACE753B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Métodos de fijación de precios en destino.</w:t>
            </w:r>
          </w:p>
          <w:p w14:paraId="4A262B7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Formulación de cotizaciones internacionales para buyers.</w:t>
            </w:r>
          </w:p>
        </w:tc>
        <w:tc>
          <w:tcPr>
            <w:tcW w:w="2401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0A8C14D0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Desarrolla la cotización oficial de exportación para el comprador en el país destino.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3B07309A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Demuestra ética y competitividad en la determinación de precios.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723DD8D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Simulación de negociación de cotizaciones.</w:t>
            </w:r>
          </w:p>
          <w:p w14:paraId="38F2064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Trabajo práctico grupal.</w:t>
            </w:r>
          </w:p>
        </w:tc>
        <w:tc>
          <w:tcPr>
            <w:tcW w:w="312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0BCDA4A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Entrega y Exposición Parte 2: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Expediente Documentario Modelo (Invoice, Packing List, Certificado de Origen), Contrato de Compraventa y Cotización Oficial (Matriz de Costos FOB/CIF).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  <w:lang w:val="es-PE"/>
              </w:rPr>
              <w:t xml:space="preserve"> </w:t>
            </w:r>
            <w:r>
              <w:rPr>
                <w:rFonts w:hint="default" w:ascii="Arial" w:hAnsi="Arial" w:cs="Arial"/>
                <w:i/>
                <w:iCs/>
                <w:color w:val="333333"/>
                <w:sz w:val="18"/>
                <w:szCs w:val="18"/>
                <w:u w:val="none"/>
                <w:vertAlign w:val="baseline"/>
              </w:rPr>
              <w:t>Criterio Evaluativo: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Exactitud matemática y rigurosidad documental.</w:t>
            </w:r>
          </w:p>
        </w:tc>
      </w:tr>
      <w:tr w14:paraId="166B665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5" w:hRule="atLeast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63935A7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CC0B54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93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DDB702D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</w:tr>
      <w:tr w14:paraId="56E5D5A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9" w:hRule="atLeast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140B732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C0D27B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577FF0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4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D4106D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F86F159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14:paraId="231964F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5" w:hRule="atLeast"/>
        </w:trPr>
        <w:tc>
          <w:tcPr>
            <w:tcW w:w="8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4A43085E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A4D2AC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32BFC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53F38D4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7FDD2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6153B40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32F27DE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Participación de clase.</w:t>
            </w:r>
          </w:p>
        </w:tc>
      </w:tr>
    </w:tbl>
    <w:p w14:paraId="2044029F">
      <w:pPr>
        <w:autoSpaceDE w:val="0"/>
        <w:autoSpaceDN w:val="0"/>
        <w:adjustRightInd w:val="0"/>
        <w:spacing w:after="0"/>
        <w:ind w:left="-426" w:hanging="141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</w:p>
    <w:p w14:paraId="6C2556E4">
      <w:pPr>
        <w:rPr>
          <w:rFonts w:ascii="Arial Narrow" w:hAnsi="Arial Narrow"/>
          <w:sz w:val="18"/>
          <w:szCs w:val="18"/>
        </w:rPr>
      </w:pPr>
    </w:p>
    <w:p w14:paraId="6F834D74">
      <w:pPr>
        <w:rPr>
          <w:rFonts w:ascii="Arial Narrow" w:hAnsi="Arial Narrow"/>
          <w:sz w:val="18"/>
          <w:szCs w:val="18"/>
        </w:rPr>
      </w:pPr>
    </w:p>
    <w:p w14:paraId="1B3F593F">
      <w:pPr>
        <w:rPr>
          <w:rFonts w:ascii="Arial Narrow" w:hAnsi="Arial Narrow"/>
          <w:sz w:val="18"/>
          <w:szCs w:val="18"/>
        </w:rPr>
      </w:pPr>
    </w:p>
    <w:tbl>
      <w:tblPr>
        <w:tblStyle w:val="5"/>
        <w:tblW w:w="14939" w:type="dxa"/>
        <w:tblInd w:w="-214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868"/>
        <w:gridCol w:w="1007"/>
        <w:gridCol w:w="3226"/>
        <w:gridCol w:w="559"/>
        <w:gridCol w:w="1841"/>
        <w:gridCol w:w="2513"/>
        <w:gridCol w:w="603"/>
        <w:gridCol w:w="1874"/>
        <w:gridCol w:w="2448"/>
      </w:tblGrid>
      <w:tr w14:paraId="7D830B6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67" w:hRule="atLeast"/>
        </w:trPr>
        <w:tc>
          <w:tcPr>
            <w:tcW w:w="8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684F9456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UNIDAD DIDÁCTICA III: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LA MARCA Y CALIDAD DE PRODUCCIÓN</w:t>
            </w:r>
          </w:p>
          <w:p w14:paraId="4FFA87E6">
            <w:pPr>
              <w:spacing w:after="0"/>
              <w:jc w:val="both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0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6A6A6"/>
            <w:vAlign w:val="center"/>
          </w:tcPr>
          <w:p w14:paraId="593C6888">
            <w:pPr>
              <w:spacing w:after="0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III:</w:t>
            </w:r>
            <w:r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val="es-ES" w:eastAsia="es-PE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Desarrollar estrategias para posicionar la marca en mercados internacionales, garantizando los estándares de calidad en la producción para competir globalmente.</w:t>
            </w:r>
          </w:p>
        </w:tc>
      </w:tr>
      <w:tr w14:paraId="3273319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1" w:hRule="atLeast"/>
        </w:trPr>
        <w:tc>
          <w:tcPr>
            <w:tcW w:w="8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59AB77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613B27F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81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CB389CE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4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BA6B3D">
            <w:pPr>
              <w:spacing w:after="0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PE"/>
              </w:rPr>
              <w:t>ESTRATEGIAS DIDÁCTICAS</w:t>
            </w:r>
          </w:p>
        </w:tc>
        <w:tc>
          <w:tcPr>
            <w:tcW w:w="24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0B10755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14:paraId="57595A1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9" w:hRule="atLeast"/>
        </w:trPr>
        <w:tc>
          <w:tcPr>
            <w:tcW w:w="8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42C61A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68F2B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6A9F0F2E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3163824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3674B484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47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363DF41C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4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ACF1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14:paraId="00F0F4B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104" w:hRule="atLeast"/>
        </w:trPr>
        <w:tc>
          <w:tcPr>
            <w:tcW w:w="868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9E100B8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E54259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6A5D610D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9</w:t>
            </w:r>
          </w:p>
          <w:p w14:paraId="1B611075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168323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Distribución Física Internacional (DFI) y Cadena de Frío</w:t>
            </w:r>
          </w:p>
          <w:p w14:paraId="2EA79156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Fases de la DFI y elección de nodos logísticos.</w:t>
            </w:r>
          </w:p>
          <w:p w14:paraId="4537A08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Mantenimiento de cadena de frío para perecibles / bienes procesados.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36531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Mapea la ruta logística óptima desde la planta/almacén hasta el punto de entrega en el país destino.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1E0499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Demuestra visión estratégica en la gestión de la cadena de suministro.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766F99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Análisis de casos de rutas logísticas marítimas y aéreas.</w:t>
            </w:r>
          </w:p>
          <w:p w14:paraId="1AB57EB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Uso de simuladores de fletes y conectividad.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D041B9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Diseña la ruta de DFI minimizando tiempos de tránsito y riesgos.</w:t>
            </w:r>
          </w:p>
          <w:p w14:paraId="4E06351D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Evaluación Formativa: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Diagrama de Flujo Logístico.</w:t>
            </w:r>
          </w:p>
        </w:tc>
      </w:tr>
      <w:tr w14:paraId="269EA9B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41" w:hRule="atLeast"/>
        </w:trPr>
        <w:tc>
          <w:tcPr>
            <w:tcW w:w="868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6E9072B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C4CBAC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2DFBC7FB">
            <w:pPr>
              <w:spacing w:after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10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0EC11A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Envase, Embalaje, Marcado y Cubicaje para Exportación</w:t>
            </w:r>
          </w:p>
          <w:p w14:paraId="00630BE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Normas de embalaje (NIMF 15) y rotulado.</w:t>
            </w:r>
          </w:p>
          <w:p w14:paraId="4C0E886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Cubicaje, paletizado y selección de contenedores (Dry / Reefer).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D9C1F2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Diseña la ficha técnica del empaque y calcula el cubicaje exacto de la carga en contenedor.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F20ABA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Asume la importancia de la preservación del producto y la sostenibilidad del empaque.</w:t>
            </w:r>
          </w:p>
        </w:tc>
        <w:tc>
          <w:tcPr>
            <w:tcW w:w="24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D7AEF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Taller de cubicaje con software/calculadoras en línea de simulación de contenedores.</w:t>
            </w:r>
          </w:p>
          <w:p w14:paraId="17A4B665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Muestras físicas.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77C290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Determina el tipo de empaque, rotulado y distribución física de la carga en el contenedor.</w:t>
            </w:r>
          </w:p>
          <w:p w14:paraId="5122181D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Evaluación Formativa: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Plano y cálculo de cubicaje.</w:t>
            </w:r>
          </w:p>
        </w:tc>
      </w:tr>
      <w:tr w14:paraId="10FC2E8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134" w:hRule="atLeast"/>
        </w:trPr>
        <w:tc>
          <w:tcPr>
            <w:tcW w:w="868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FE28ECE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8D31D4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40BD664F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62394EEA">
            <w:pPr>
              <w:spacing w:after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11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A25585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Transporte Internacional, Infraestructura Puertos y Aeropuertos</w:t>
            </w:r>
          </w:p>
          <w:p w14:paraId="22EB3B0B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Tipos de buques, líneas navieras, consolidación (FCL / LCL).</w:t>
            </w:r>
          </w:p>
          <w:p w14:paraId="5B56AB7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Hubs logísticos del mundo y fletes marítimos/aéreos.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BBF533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Compara cotizaciones de agentes de carga e identifica la naviera/aerolínea idónea.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74F41D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Demuestra apertura hacia las dinámicas del transporte global.</w:t>
            </w:r>
          </w:p>
        </w:tc>
        <w:tc>
          <w:tcPr>
            <w:tcW w:w="24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C5EB81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Análisis en directo con páginas de seguimiento de contenedores (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MarineTraffic, VesselFinder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).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A24349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Evalúa y selecciona el medio de transporte internacional óptimo según la naturaleza de la carga.</w:t>
            </w:r>
          </w:p>
        </w:tc>
      </w:tr>
      <w:tr w14:paraId="20DE5C2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67" w:hRule="atLeast"/>
        </w:trPr>
        <w:tc>
          <w:tcPr>
            <w:tcW w:w="868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5928155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507876DD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3874E616">
            <w:pPr>
              <w:spacing w:after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12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2586DF1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Almacenamiento, Manipulación y Visita Técnica Logística</w:t>
            </w:r>
          </w:p>
          <w:p w14:paraId="4E9FBC8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Operaciones de Picking, Packing y almacenamiento aduanero.</w:t>
            </w:r>
          </w:p>
          <w:p w14:paraId="3CFC534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Gestión de depósitos temporales.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0285EC41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Diseña el protocolo de manejo de inventario para exportación.</w:t>
            </w:r>
          </w:p>
          <w:p w14:paraId="4780B145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Ejecuta visita de campo o recorrido técnico virtual a almacén/puerto.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62FA329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Muestra comportamiento ético y profesional en el ámbito de campo.</w:t>
            </w:r>
          </w:p>
        </w:tc>
        <w:tc>
          <w:tcPr>
            <w:tcW w:w="2477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4FBD9D0B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• 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Visita técnica de campo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(o recorrido virtual guiado a almacén/puerto).</w:t>
            </w:r>
          </w:p>
          <w:p w14:paraId="5784D63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240" w:lineRule="auto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Reporte de visita.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5BEBCBC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Entrega y Exposición Parte 3: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Plan de Logística DFI, Ficha Técnica de Envase/Embalaje, Estudio de Cubicaje y Selección de Operadores Logísticos.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  <w:lang w:val="es-PE"/>
              </w:rPr>
              <w:t xml:space="preserve"> </w:t>
            </w:r>
            <w:r>
              <w:rPr>
                <w:rFonts w:hint="default" w:ascii="Arial" w:hAnsi="Arial" w:cs="Arial"/>
                <w:i/>
                <w:iCs/>
                <w:color w:val="333333"/>
                <w:sz w:val="18"/>
                <w:szCs w:val="18"/>
                <w:u w:val="none"/>
                <w:vertAlign w:val="baseline"/>
              </w:rPr>
              <w:t>Criterio Evaluativo: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Viabilidad técnica de empaque, cubicaje y ruta.</w:t>
            </w:r>
          </w:p>
        </w:tc>
      </w:tr>
      <w:tr w14:paraId="398460D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5" w:hRule="atLeast"/>
        </w:trPr>
        <w:tc>
          <w:tcPr>
            <w:tcW w:w="8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0D831606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F09854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0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110B88A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</w:tr>
      <w:tr w14:paraId="6510B99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9" w:hRule="atLeast"/>
        </w:trPr>
        <w:tc>
          <w:tcPr>
            <w:tcW w:w="8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26852394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B2B310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8C65E5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49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2DF068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C6CCD67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14:paraId="7AE3532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5" w:hRule="atLeast"/>
        </w:trPr>
        <w:tc>
          <w:tcPr>
            <w:tcW w:w="8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4DABBEA6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BDD160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163F5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7989DDC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9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0DF2F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672E8EE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02DDF7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 xml:space="preserve">Participación de clase. </w:t>
            </w:r>
          </w:p>
        </w:tc>
      </w:tr>
    </w:tbl>
    <w:p w14:paraId="7DFA5829">
      <w:pPr>
        <w:rPr>
          <w:rFonts w:ascii="Arial Narrow" w:hAnsi="Arial Narrow"/>
          <w:sz w:val="18"/>
          <w:szCs w:val="18"/>
        </w:rPr>
      </w:pPr>
    </w:p>
    <w:p w14:paraId="08150653">
      <w:pPr>
        <w:rPr>
          <w:rFonts w:ascii="Arial Narrow" w:hAnsi="Arial Narrow"/>
          <w:sz w:val="18"/>
          <w:szCs w:val="18"/>
        </w:rPr>
      </w:pPr>
    </w:p>
    <w:tbl>
      <w:tblPr>
        <w:tblStyle w:val="5"/>
        <w:tblW w:w="14615" w:type="dxa"/>
        <w:tblInd w:w="-214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868"/>
        <w:gridCol w:w="1007"/>
        <w:gridCol w:w="3343"/>
        <w:gridCol w:w="439"/>
        <w:gridCol w:w="1962"/>
        <w:gridCol w:w="2535"/>
        <w:gridCol w:w="331"/>
        <w:gridCol w:w="1879"/>
        <w:gridCol w:w="2251"/>
      </w:tblGrid>
      <w:tr w14:paraId="6432AF2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67" w:hRule="atLeast"/>
        </w:trPr>
        <w:tc>
          <w:tcPr>
            <w:tcW w:w="8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29A04125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UNIDAD DIDÁCTICA IV: </w:t>
            </w:r>
            <w:r>
              <w:rPr>
                <w:rFonts w:ascii="Arial" w:hAnsi="Arial" w:eastAsia="Times New Roman" w:cs="Arial"/>
                <w:bCs/>
                <w:color w:val="000000"/>
                <w:sz w:val="20"/>
                <w:szCs w:val="20"/>
                <w:lang w:eastAsia="es-PE"/>
              </w:rPr>
              <w:t>LA GESTIÓN DEL COMERCIO EXTERIOR EN LA EMPRESA</w:t>
            </w:r>
          </w:p>
          <w:p w14:paraId="03EFFB9E">
            <w:pPr>
              <w:spacing w:after="0"/>
              <w:jc w:val="both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73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6A6A6"/>
            <w:vAlign w:val="center"/>
          </w:tcPr>
          <w:p w14:paraId="28948157">
            <w:pPr>
              <w:spacing w:after="0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IV: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 xml:space="preserve"> Implementar técnicas y herramientas de gestión aduanera, logística y normativa en el comercio exterior, optimizando los procesos de exportación e importación.</w:t>
            </w:r>
          </w:p>
        </w:tc>
      </w:tr>
      <w:tr w14:paraId="74A50FB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1" w:hRule="atLeast"/>
        </w:trPr>
        <w:tc>
          <w:tcPr>
            <w:tcW w:w="8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75A4F7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74643A3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833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9DAEFC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2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54EF387">
            <w:pPr>
              <w:spacing w:after="0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PE"/>
              </w:rPr>
              <w:t>ESTRATEGIAS DIDÁCTICAS</w:t>
            </w:r>
          </w:p>
        </w:tc>
        <w:tc>
          <w:tcPr>
            <w:tcW w:w="22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0E17728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14:paraId="6F91D96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9" w:hRule="atLeast"/>
        </w:trPr>
        <w:tc>
          <w:tcPr>
            <w:tcW w:w="8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581B84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4A0E5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5E3D5A77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2C46902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3FD7380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22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5D44E66A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86685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14:paraId="0E30BD5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128" w:hRule="atLeast"/>
        </w:trPr>
        <w:tc>
          <w:tcPr>
            <w:tcW w:w="87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94D28A4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1D03A8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07D8D41E">
            <w:pPr>
              <w:spacing w:after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13</w:t>
            </w:r>
          </w:p>
          <w:p w14:paraId="244E2538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64F69029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3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82F87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Medios de Pago Internacionales y Finanzas de Exportación</w:t>
            </w:r>
          </w:p>
          <w:p w14:paraId="1C31367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Carta de Crédito (L/C), Cobranza Documentaria, Transferencia Directa.</w:t>
            </w:r>
          </w:p>
          <w:p w14:paraId="0954A068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rFonts w:ascii="Arial" w:hAnsi="Arial" w:eastAsia="Times New Roman" w:cs="Arial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Financiamiento (SEPYMEX) y factoring internacional.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F4743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Selecciona y justifica el medio de pago más seguro según el nivel de confianza con el comprador en destino.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1C93E3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Muestra prudencia en la gestión del riesgo financiero.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971BA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Análisis de casos prácticos bancarios y discrepancias en L/C.</w:t>
            </w:r>
          </w:p>
          <w:p w14:paraId="3AB86B4A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Simulación de apertura de Carta de Crédito.</w:t>
            </w: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34F1E5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Propone la estructura financiera y la cobertura de riesgo de pago adecuada para el cliente.</w:t>
            </w:r>
          </w:p>
        </w:tc>
      </w:tr>
      <w:tr w14:paraId="682DDC2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46" w:hRule="atLeast"/>
        </w:trPr>
        <w:tc>
          <w:tcPr>
            <w:tcW w:w="87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EDCF364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725164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25A95228">
            <w:pPr>
              <w:spacing w:after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14</w:t>
            </w:r>
          </w:p>
        </w:tc>
        <w:tc>
          <w:tcPr>
            <w:tcW w:w="3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BA7830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Certificaciones de Calidad, Sostenibilidad y RSE</w:t>
            </w:r>
          </w:p>
          <w:p w14:paraId="2F9567E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rFonts w:ascii="Arial" w:hAnsi="Arial" w:eastAsia="Times New Roman" w:cs="Arial"/>
                <w:color w:val="FF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Certificaciones requeridas (GLOBALG.A.P., HACCP, BRC, ISO, Fair Trade, Orgánico).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4B3609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Evalúa el mapa de certificaciones exigidas por los buyers del país destino y diseña la ruta de implementación.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B18820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Valora la sostenibilidad y la calidad como ventajas competitivas.</w:t>
            </w:r>
          </w:p>
        </w:tc>
        <w:tc>
          <w:tcPr>
            <w:tcW w:w="22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2B007A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Estudio de casos de exigencias de retail en Europa y EE. UU.</w:t>
            </w:r>
          </w:p>
          <w:p w14:paraId="66DA0BB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b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Búsqueda en bases de certificación.</w:t>
            </w: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EECCA6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Integra certificaciones internacionales como elementos diferenciadores en la estrategia.</w:t>
            </w:r>
          </w:p>
        </w:tc>
      </w:tr>
      <w:tr w14:paraId="78F8FF5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416" w:hRule="atLeast"/>
        </w:trPr>
        <w:tc>
          <w:tcPr>
            <w:tcW w:w="87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26310C4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87182D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72B7628B">
            <w:pPr>
              <w:spacing w:after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15</w:t>
            </w:r>
          </w:p>
        </w:tc>
        <w:tc>
          <w:tcPr>
            <w:tcW w:w="3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C9877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Estrategias de Promoción Internacional, RRSS B2B y Drawback</w:t>
            </w:r>
          </w:p>
          <w:p w14:paraId="2015CBF3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Marketing Digital Internacional (LinkedIn, Meta, B2B Marketplaces).</w:t>
            </w:r>
          </w:p>
          <w:p w14:paraId="07303ACA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rFonts w:ascii="Arial" w:hAnsi="Arial" w:eastAsia="Times New Roman" w:cs="Arial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Restitución de derechos arancelarios (Drawback).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FF8A9B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Diseña la estrategia digital de prospección B2B en el país objetivo.</w:t>
            </w:r>
          </w:p>
          <w:p w14:paraId="574D663E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Calcula el beneficio del Drawback para la liquidación final.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5323F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Muestra proactividad y visión comercial moderna.</w:t>
            </w:r>
          </w:p>
        </w:tc>
        <w:tc>
          <w:tcPr>
            <w:tcW w:w="22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66769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• Uso de 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LinkedIn Sales Navigator, Meta Ads Library, Alibaba B2B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.</w:t>
            </w:r>
          </w:p>
          <w:p w14:paraId="534A7F93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Ejercicios prácticos de solicitud de Drawback SUNAT.</w:t>
            </w: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E06E6B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Indicador: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Modela la estrategia de prospección comercial en el mercado destino y calcula retornos impositivos (Drawback).</w:t>
            </w:r>
          </w:p>
        </w:tc>
      </w:tr>
      <w:tr w14:paraId="0912ED9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36" w:hRule="atLeast"/>
        </w:trPr>
        <w:tc>
          <w:tcPr>
            <w:tcW w:w="87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369CD23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0CEF614E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  <w:p w14:paraId="5674998B">
            <w:pPr>
              <w:spacing w:after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  <w:lang w:val="en-US" w:eastAsia="es-PE"/>
              </w:rPr>
              <w:t>16</w:t>
            </w:r>
          </w:p>
        </w:tc>
        <w:tc>
          <w:tcPr>
            <w:tcW w:w="33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190D8DD4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Sustentación del Proyecto Integrador: "Plan de Ingeniería de la Exportación"</w:t>
            </w:r>
          </w:p>
          <w:p w14:paraId="2FE95230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Consolidación del informe final de exportación.</w:t>
            </w:r>
          </w:p>
          <w:p w14:paraId="7E54BA2B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Presentación de negocio ante panel evaluador.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14A240CC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Presenta y defiende en formato Pitch la viabilidad técnica, comercial, logística y financiera de la exportación del producto al país seleccionado.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2F9C7BFF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Muestra liderazgo, fluidez verbal, profesionalismo y trabajo en equipo.</w:t>
            </w:r>
          </w:p>
        </w:tc>
        <w:tc>
          <w:tcPr>
            <w:tcW w:w="2221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447A55B6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• 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Pitch comercial estilo Rueda de Negocios / B2B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.</w:t>
            </w:r>
          </w:p>
          <w:p w14:paraId="1685E5FA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• Jurado evaluador con rúbrica integral.</w:t>
            </w: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2851B3FD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rPr>
                <w:sz w:val="18"/>
                <w:szCs w:val="18"/>
              </w:rPr>
            </w:pPr>
            <w:bookmarkStart w:id="5" w:name="_GoBack"/>
            <w:bookmarkEnd w:id="5"/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>Entrega Final y Sustentación: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Presentación del Informe Ejecutivo Final del Proyecto de Exportación y Exposición Oral.</w:t>
            </w:r>
          </w:p>
          <w:p w14:paraId="3155CF97">
            <w:pPr>
              <w:pStyle w:val="9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ind w:left="0" w:leftChars="0" w:right="0" w:rightChars="0"/>
              <w:rPr>
                <w:rFonts w:ascii="Arial" w:hAnsi="Arial" w:eastAsia="Times New Roman" w:cs="Arial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hint="default" w:ascii="Arial" w:hAnsi="Arial" w:cs="Arial"/>
                <w:i/>
                <w:iCs/>
                <w:color w:val="333333"/>
                <w:sz w:val="18"/>
                <w:szCs w:val="18"/>
                <w:u w:val="none"/>
                <w:vertAlign w:val="baseline"/>
              </w:rPr>
              <w:t>Criterio Evaluativo:</w:t>
            </w:r>
            <w:r>
              <w:rPr>
                <w:rFonts w:hint="default" w:ascii="Arial" w:hAnsi="Arial" w:cs="Arial"/>
                <w:i w:val="0"/>
                <w:iCs w:val="0"/>
                <w:color w:val="333333"/>
                <w:sz w:val="18"/>
                <w:szCs w:val="18"/>
                <w:u w:val="none"/>
                <w:vertAlign w:val="baseline"/>
              </w:rPr>
              <w:t xml:space="preserve"> Rúbrica de Sustentación Integrada (Comercial, Normativa, Logística, Financiera y Pitch B2B).</w:t>
            </w:r>
          </w:p>
        </w:tc>
      </w:tr>
      <w:tr w14:paraId="5829F68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5" w:hRule="atLeast"/>
        </w:trPr>
        <w:tc>
          <w:tcPr>
            <w:tcW w:w="8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63108EE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3054DA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81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333E01F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</w:tr>
      <w:tr w14:paraId="6A0FE23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9" w:hRule="atLeast"/>
        </w:trPr>
        <w:tc>
          <w:tcPr>
            <w:tcW w:w="8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5CE471A3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E86211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06F692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4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2E3B6B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EAA65CA">
            <w:pPr>
              <w:spacing w:after="0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14:paraId="7771727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5" w:hRule="atLeast"/>
        </w:trPr>
        <w:tc>
          <w:tcPr>
            <w:tcW w:w="8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7E65CD69">
            <w:pPr>
              <w:spacing w:after="0"/>
              <w:jc w:val="center"/>
              <w:rPr>
                <w:rFonts w:ascii="Arial" w:hAnsi="Arial" w:eastAsia="Times New Roman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864442">
            <w:pPr>
              <w:spacing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F56F6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49C034B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B3FA7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2C9CB632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306658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es-PE"/>
              </w:rPr>
              <w:t>Participación de clase.</w:t>
            </w:r>
          </w:p>
        </w:tc>
      </w:tr>
    </w:tbl>
    <w:p w14:paraId="5641F0B6">
      <w:pPr>
        <w:rPr>
          <w:rFonts w:ascii="Arial Narrow" w:hAnsi="Arial Narrow"/>
          <w:sz w:val="18"/>
          <w:szCs w:val="18"/>
        </w:rPr>
        <w:sectPr>
          <w:pgSz w:w="16838" w:h="11906" w:orient="landscape"/>
          <w:pgMar w:top="538" w:right="1418" w:bottom="1418" w:left="1418" w:header="709" w:footer="567" w:gutter="0"/>
          <w:cols w:space="708" w:num="1"/>
          <w:docGrid w:linePitch="360" w:charSpace="0"/>
        </w:sectPr>
      </w:pPr>
    </w:p>
    <w:bookmarkEnd w:id="1"/>
    <w:p w14:paraId="3ABC651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  <w:t>MATERIALES EDUCATIVOS Y OTROS RECURSOS DIDÁCTICOS</w:t>
      </w:r>
    </w:p>
    <w:p w14:paraId="687ED734">
      <w:pPr>
        <w:spacing w:after="0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Se utilizarán todos los materiales y recursos requeridos de acuerdo a la naturaleza de los temas programados. Básicamente serán:</w:t>
      </w:r>
    </w:p>
    <w:p w14:paraId="6512DA67">
      <w:pPr>
        <w:autoSpaceDE w:val="0"/>
        <w:autoSpaceDN w:val="0"/>
        <w:adjustRightInd w:val="0"/>
        <w:spacing w:after="0"/>
        <w:ind w:left="426" w:hanging="426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  <w:bookmarkStart w:id="2" w:name="_Hlk6990079"/>
    </w:p>
    <w:p w14:paraId="1F518C9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  <w:sectPr>
          <w:headerReference r:id="rId6" w:type="default"/>
          <w:footerReference r:id="rId7" w:type="default"/>
          <w:pgSz w:w="11906" w:h="16838"/>
          <w:pgMar w:top="1418" w:right="1701" w:bottom="1418" w:left="1701" w:header="709" w:footer="567" w:gutter="0"/>
          <w:cols w:space="708" w:num="1"/>
          <w:docGrid w:linePitch="360" w:charSpace="0"/>
        </w:sectPr>
      </w:pPr>
    </w:p>
    <w:p w14:paraId="168A66C7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  <w:t>MEDIOS ESCRITOS</w:t>
      </w:r>
    </w:p>
    <w:p w14:paraId="56959A70">
      <w:pPr>
        <w:autoSpaceDE w:val="0"/>
        <w:autoSpaceDN w:val="0"/>
        <w:adjustRightInd w:val="0"/>
        <w:spacing w:after="0" w:line="276" w:lineRule="auto"/>
        <w:ind w:left="720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</w:pPr>
    </w:p>
    <w:p w14:paraId="445292B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219"/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  <w:t>Casos prácticos</w:t>
      </w:r>
    </w:p>
    <w:p w14:paraId="2ED3D3D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219"/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  <w:t>Lecturas</w:t>
      </w:r>
    </w:p>
    <w:p w14:paraId="0F71E87F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219"/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  <w:t xml:space="preserve">Revistas empresariales </w:t>
      </w:r>
    </w:p>
    <w:p w14:paraId="1FF1155F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219"/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  <w:t xml:space="preserve">Plumones /notas adhesivas/pizarra </w:t>
      </w:r>
    </w:p>
    <w:p w14:paraId="7ECDB10E">
      <w:pPr>
        <w:autoSpaceDE w:val="0"/>
        <w:autoSpaceDN w:val="0"/>
        <w:adjustRightInd w:val="0"/>
        <w:spacing w:after="0" w:line="276" w:lineRule="auto"/>
        <w:ind w:left="720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</w:pPr>
    </w:p>
    <w:p w14:paraId="340E543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  <w:t>MEDIOS VISUALES Y ELECTRONICOS</w:t>
      </w:r>
    </w:p>
    <w:p w14:paraId="24C235E0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993" w:hanging="219"/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  <w:t xml:space="preserve">Plataforma de exportemos.pe </w:t>
      </w:r>
    </w:p>
    <w:p w14:paraId="49998F11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993" w:hanging="219"/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  <w:t>Proyector</w:t>
      </w:r>
    </w:p>
    <w:p w14:paraId="23125DF6">
      <w:pPr>
        <w:pStyle w:val="17"/>
        <w:numPr>
          <w:ilvl w:val="0"/>
          <w:numId w:val="5"/>
        </w:numPr>
        <w:spacing w:after="0"/>
        <w:ind w:left="993" w:hanging="219"/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  <w:t>Videos y documentales:</w:t>
      </w:r>
    </w:p>
    <w:p w14:paraId="12AB7798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993" w:hanging="219"/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  <w:t xml:space="preserve">Infografías </w:t>
      </w:r>
    </w:p>
    <w:p w14:paraId="5717B1CC">
      <w:pPr>
        <w:autoSpaceDE w:val="0"/>
        <w:autoSpaceDN w:val="0"/>
        <w:adjustRightInd w:val="0"/>
        <w:spacing w:after="0" w:line="276" w:lineRule="auto"/>
        <w:ind w:left="720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</w:pPr>
    </w:p>
    <w:p w14:paraId="430CC610">
      <w:pPr>
        <w:autoSpaceDE w:val="0"/>
        <w:autoSpaceDN w:val="0"/>
        <w:adjustRightInd w:val="0"/>
        <w:spacing w:after="0" w:line="276" w:lineRule="auto"/>
        <w:ind w:left="720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</w:pPr>
    </w:p>
    <w:p w14:paraId="5C171D5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  <w:t>MEDIOS INFORMATICOS</w:t>
      </w:r>
    </w:p>
    <w:p w14:paraId="7DCC8D88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993" w:hanging="219"/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color w:val="000000"/>
          <w:sz w:val="18"/>
          <w:szCs w:val="18"/>
          <w:lang w:val="es-ES" w:eastAsia="es-ES"/>
        </w:rPr>
        <w:t xml:space="preserve">Aplicaciones móviles (Tarde map, global trade) </w:t>
      </w:r>
    </w:p>
    <w:p w14:paraId="2B5E83D5">
      <w:pPr>
        <w:autoSpaceDE w:val="0"/>
        <w:autoSpaceDN w:val="0"/>
        <w:adjustRightInd w:val="0"/>
        <w:spacing w:after="0" w:line="276" w:lineRule="auto"/>
        <w:ind w:left="720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</w:pPr>
    </w:p>
    <w:p w14:paraId="63F44BBB">
      <w:pPr>
        <w:autoSpaceDE w:val="0"/>
        <w:autoSpaceDN w:val="0"/>
        <w:adjustRightInd w:val="0"/>
        <w:spacing w:after="0" w:line="276" w:lineRule="auto"/>
        <w:ind w:left="720"/>
        <w:rPr>
          <w:rFonts w:ascii="Arial Narrow" w:hAnsi="Arial Narrow" w:eastAsia="Times New Roman" w:cs="Arial"/>
          <w:b/>
          <w:iCs/>
          <w:color w:val="000000"/>
          <w:sz w:val="18"/>
          <w:szCs w:val="18"/>
          <w:lang w:val="es-ES" w:eastAsia="es-ES"/>
        </w:rPr>
      </w:pPr>
    </w:p>
    <w:bookmarkEnd w:id="2"/>
    <w:p w14:paraId="2E0A3E78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  <w:t>EVALUACIÓN:</w:t>
      </w:r>
    </w:p>
    <w:p w14:paraId="5A0B4CE5">
      <w:pPr>
        <w:spacing w:after="0"/>
        <w:ind w:left="567"/>
        <w:jc w:val="both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7E91DC15">
      <w:pPr>
        <w:spacing w:after="0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</w:p>
    <w:p w14:paraId="3CB50B3D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  <w:t>Evidencias de Conocimiento.</w:t>
      </w:r>
    </w:p>
    <w:p w14:paraId="087CF583">
      <w:pPr>
        <w:autoSpaceDE w:val="0"/>
        <w:autoSpaceDN w:val="0"/>
        <w:adjustRightInd w:val="0"/>
        <w:spacing w:after="0"/>
        <w:ind w:left="993"/>
        <w:jc w:val="both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3CE3479B">
      <w:pPr>
        <w:autoSpaceDE w:val="0"/>
        <w:autoSpaceDN w:val="0"/>
        <w:adjustRightInd w:val="0"/>
        <w:spacing w:after="0"/>
        <w:ind w:left="993"/>
        <w:jc w:val="both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En cuanto a la autoevaluación permite que el estudiante reconozca sus debilidades y fortalezas para corregir o mejorar.</w:t>
      </w:r>
    </w:p>
    <w:p w14:paraId="763ED4CE">
      <w:pPr>
        <w:autoSpaceDE w:val="0"/>
        <w:autoSpaceDN w:val="0"/>
        <w:adjustRightInd w:val="0"/>
        <w:spacing w:after="0"/>
        <w:ind w:left="993"/>
        <w:jc w:val="both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Las evaluaciones de este nivel serán de respuestas simples y otras con preguntas abiertas para su argumentación.</w:t>
      </w:r>
    </w:p>
    <w:p w14:paraId="6376D852">
      <w:pPr>
        <w:autoSpaceDE w:val="0"/>
        <w:autoSpaceDN w:val="0"/>
        <w:adjustRightInd w:val="0"/>
        <w:spacing w:after="0"/>
        <w:ind w:left="720"/>
        <w:jc w:val="both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 xml:space="preserve"> </w:t>
      </w:r>
    </w:p>
    <w:p w14:paraId="6155BACC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  <w:t>Evidencia de Desempeño.</w:t>
      </w:r>
    </w:p>
    <w:p w14:paraId="30EC0B5D">
      <w:pPr>
        <w:autoSpaceDE w:val="0"/>
        <w:autoSpaceDN w:val="0"/>
        <w:adjustRightInd w:val="0"/>
        <w:spacing w:after="0"/>
        <w:ind w:left="993"/>
        <w:jc w:val="both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6A7CADCC">
      <w:pPr>
        <w:autoSpaceDE w:val="0"/>
        <w:autoSpaceDN w:val="0"/>
        <w:adjustRightInd w:val="0"/>
        <w:spacing w:after="0"/>
        <w:ind w:left="993"/>
        <w:jc w:val="both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4C246218">
      <w:pPr>
        <w:autoSpaceDE w:val="0"/>
        <w:autoSpaceDN w:val="0"/>
        <w:adjustRightInd w:val="0"/>
        <w:spacing w:after="0"/>
        <w:ind w:left="720"/>
        <w:jc w:val="both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</w:p>
    <w:p w14:paraId="2AD41DA5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  <w:t>Evidencia de Producto.</w:t>
      </w:r>
    </w:p>
    <w:p w14:paraId="2681FE23">
      <w:pPr>
        <w:autoSpaceDE w:val="0"/>
        <w:autoSpaceDN w:val="0"/>
        <w:adjustRightInd w:val="0"/>
        <w:spacing w:after="0"/>
        <w:ind w:left="993"/>
        <w:jc w:val="both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63FF4B38">
      <w:pPr>
        <w:autoSpaceDE w:val="0"/>
        <w:autoSpaceDN w:val="0"/>
        <w:adjustRightInd w:val="0"/>
        <w:spacing w:after="0"/>
        <w:ind w:left="993"/>
        <w:jc w:val="both"/>
        <w:rPr>
          <w:rFonts w:ascii="Arial Narrow" w:hAnsi="Arial Narrow" w:eastAsia="Times New Roman" w:cs="Arial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La evaluación de producto de evidencia en la entrega oportuna de sus trabajos parciales y el trabajo final.</w:t>
      </w:r>
    </w:p>
    <w:p w14:paraId="53F5A09F">
      <w:pPr>
        <w:autoSpaceDE w:val="0"/>
        <w:autoSpaceDN w:val="0"/>
        <w:adjustRightInd w:val="0"/>
        <w:spacing w:after="0"/>
        <w:ind w:left="993"/>
        <w:jc w:val="both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Además, se tendrá en cuenta la asistencia como componente del desempeño, el 30% de inasistencia inhabilita el derecho a la evaluación.</w:t>
      </w:r>
    </w:p>
    <w:p w14:paraId="111FE894">
      <w:pPr>
        <w:autoSpaceDE w:val="0"/>
        <w:autoSpaceDN w:val="0"/>
        <w:adjustRightInd w:val="0"/>
        <w:spacing w:after="0"/>
        <w:ind w:left="993"/>
        <w:jc w:val="both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</w:p>
    <w:p w14:paraId="102A3010">
      <w:pPr>
        <w:autoSpaceDE w:val="0"/>
        <w:autoSpaceDN w:val="0"/>
        <w:adjustRightInd w:val="0"/>
        <w:spacing w:after="0"/>
        <w:ind w:left="720"/>
        <w:jc w:val="both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4"/>
        <w:gridCol w:w="1810"/>
        <w:gridCol w:w="2695"/>
      </w:tblGrid>
      <w:tr w14:paraId="3B447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3D82956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eastAsia="Times New Roman" w:cs="Arial"/>
                <w:b/>
                <w:bCs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b/>
                <w:bCs/>
                <w:iCs/>
                <w:sz w:val="18"/>
                <w:szCs w:val="18"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55AB58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eastAsia="Times New Roman" w:cs="Arial"/>
                <w:b/>
                <w:bCs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b/>
                <w:bCs/>
                <w:iCs/>
                <w:sz w:val="18"/>
                <w:szCs w:val="18"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2972FC4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eastAsia="Times New Roman" w:cs="Arial"/>
                <w:b/>
                <w:bCs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b/>
                <w:bCs/>
                <w:iCs/>
                <w:sz w:val="18"/>
                <w:szCs w:val="18"/>
                <w:lang w:val="es-ES" w:eastAsia="es-ES"/>
              </w:rPr>
              <w:t>UNIDADES DIDÁCTICAS DENOMINADAS MÓDULOS</w:t>
            </w:r>
          </w:p>
        </w:tc>
      </w:tr>
      <w:tr w14:paraId="2CEEB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4D2B73E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709BD5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eastAsia="Times New Roman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20 %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6BB229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  <w:t>El ciclo académico comprende 4</w:t>
            </w:r>
          </w:p>
        </w:tc>
      </w:tr>
      <w:tr w14:paraId="27371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5C7CF75C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12A729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eastAsia="Times New Roman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40%</w:t>
            </w:r>
          </w:p>
        </w:tc>
        <w:tc>
          <w:tcPr>
            <w:tcW w:w="2695" w:type="dxa"/>
            <w:vMerge w:val="continue"/>
            <w:shd w:val="clear" w:color="auto" w:fill="auto"/>
            <w:vAlign w:val="center"/>
          </w:tcPr>
          <w:p w14:paraId="1479FEF8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</w:pPr>
          </w:p>
        </w:tc>
      </w:tr>
      <w:tr w14:paraId="1D531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8A751DD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5FC35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eastAsia="Times New Roman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>
              <w:rPr>
                <w:rFonts w:ascii="Arial Narrow" w:hAnsi="Arial Narrow" w:eastAsia="Times New Roman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40 %</w:t>
            </w:r>
          </w:p>
        </w:tc>
        <w:tc>
          <w:tcPr>
            <w:tcW w:w="2695" w:type="dxa"/>
            <w:vMerge w:val="continue"/>
            <w:shd w:val="clear" w:color="auto" w:fill="auto"/>
            <w:vAlign w:val="center"/>
          </w:tcPr>
          <w:p w14:paraId="079940A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eastAsia="Times New Roman" w:cs="Arial"/>
                <w:iCs/>
                <w:sz w:val="18"/>
                <w:szCs w:val="18"/>
                <w:lang w:val="es-ES" w:eastAsia="es-ES"/>
              </w:rPr>
            </w:pPr>
          </w:p>
        </w:tc>
      </w:tr>
    </w:tbl>
    <w:p w14:paraId="1798A411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</w:p>
    <w:p w14:paraId="55DAD7C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>Siendo el promedio final (PF), el promedio simple de los promedios ponderados de cada módulo (PM1, PM2, PM3, PM4)</w:t>
      </w:r>
    </w:p>
    <w:p w14:paraId="4794983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</w:pPr>
    </w:p>
    <w:p w14:paraId="2AA0C5FC">
      <w:pPr>
        <w:jc w:val="center"/>
        <w:rPr>
          <w:rFonts w:ascii="Arial Narrow" w:hAnsi="Arial Narrow"/>
          <w:sz w:val="18"/>
          <w:szCs w:val="18"/>
        </w:rPr>
      </w:pPr>
      <m:oMathPara>
        <m:oMath>
          <m:r>
            <m:rPr/>
            <w:rPr>
              <w:rFonts w:ascii="Cambria Math" w:hAnsi="Cambria Math"/>
              <w:sz w:val="18"/>
              <w:szCs w:val="18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  <w:sz w:val="18"/>
                  <w:szCs w:val="18"/>
                </w:rPr>
              </m:ctrlPr>
            </m:fPr>
            <m:num>
              <m:r>
                <m:rPr/>
                <w:rPr>
                  <w:rFonts w:ascii="Cambria Math" w:hAnsi="Cambria Math"/>
                  <w:sz w:val="18"/>
                  <w:szCs w:val="18"/>
                </w:rPr>
                <m:t>PM1+PM2+PM3+PM4</m:t>
              </m:r>
              <m:ctrlPr>
                <w:rPr>
                  <w:rFonts w:ascii="Cambria Math" w:hAnsi="Cambria Math" w:cs="Times New Roman"/>
                  <w:i/>
                  <w:sz w:val="18"/>
                  <w:szCs w:val="18"/>
                </w:rPr>
              </m:ctrlPr>
            </m:num>
            <m:den>
              <m:r>
                <m:rPr/>
                <w:rPr>
                  <w:rFonts w:ascii="Cambria Math" w:hAnsi="Cambria Math"/>
                  <w:sz w:val="18"/>
                  <w:szCs w:val="18"/>
                </w:rPr>
                <m:t>4</m:t>
              </m:r>
              <m:ctrlPr>
                <w:rPr>
                  <w:rFonts w:ascii="Cambria Math" w:hAnsi="Cambria Math" w:cs="Times New Roman"/>
                  <w:i/>
                  <w:sz w:val="18"/>
                  <w:szCs w:val="18"/>
                </w:rPr>
              </m:ctrlPr>
            </m:den>
          </m:f>
        </m:oMath>
      </m:oMathPara>
    </w:p>
    <w:p w14:paraId="74D81103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  <w:t xml:space="preserve"> BIBLIOGRAFÍA Y REFERENCIAS WEB </w:t>
      </w:r>
    </w:p>
    <w:p w14:paraId="20119056">
      <w:pPr>
        <w:spacing w:after="0" w:line="360" w:lineRule="auto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</w:p>
    <w:p w14:paraId="5CDAEA9D">
      <w:pPr>
        <w:spacing w:after="0" w:line="360" w:lineRule="auto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bookmarkStart w:id="3" w:name="OLE_LINK1"/>
      <w:r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  <w:t xml:space="preserve">UNIDAD DIDACTICA I: </w:t>
      </w:r>
    </w:p>
    <w:p w14:paraId="55676BCA">
      <w:pPr>
        <w:pStyle w:val="17"/>
        <w:numPr>
          <w:ilvl w:val="0"/>
          <w:numId w:val="7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bookmarkStart w:id="4" w:name="OLE_LINK2"/>
      <w:r>
        <w:rPr>
          <w:rFonts w:ascii="Arial Narrow" w:hAnsi="Arial Narrow" w:cstheme="minorHAnsi"/>
          <w:bCs/>
          <w:sz w:val="18"/>
          <w:szCs w:val="18"/>
        </w:rPr>
        <w:t>Minervini, Nicola. ( 2024) Ingeniería de la Exportación. La ruta para internacionalizar su empresa.</w:t>
      </w:r>
    </w:p>
    <w:bookmarkEnd w:id="4"/>
    <w:p w14:paraId="7B9F0DA7">
      <w:pPr>
        <w:pStyle w:val="17"/>
        <w:numPr>
          <w:ilvl w:val="0"/>
          <w:numId w:val="7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r>
        <w:rPr>
          <w:rFonts w:ascii="Arial Narrow" w:hAnsi="Arial Narrow" w:cstheme="minorHAnsi"/>
          <w:bCs/>
          <w:sz w:val="18"/>
          <w:szCs w:val="18"/>
        </w:rPr>
        <w:t xml:space="preserve">Hector Hugo Juarez Allende (2024). La organización mundial de aduanas. Pasado Presente y futuro. </w:t>
      </w:r>
    </w:p>
    <w:p w14:paraId="1FDBC7BD">
      <w:pPr>
        <w:pStyle w:val="17"/>
        <w:numPr>
          <w:ilvl w:val="0"/>
          <w:numId w:val="7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r>
        <w:rPr>
          <w:rFonts w:ascii="Arial Narrow" w:hAnsi="Arial Narrow" w:cstheme="minorHAnsi"/>
          <w:bCs/>
          <w:sz w:val="18"/>
          <w:szCs w:val="18"/>
        </w:rPr>
        <w:t xml:space="preserve">Juan Antonio Marco. (2021). Logistica 5.0. Transporte tu logística al mundo digital. </w:t>
      </w:r>
    </w:p>
    <w:bookmarkEnd w:id="3"/>
    <w:p w14:paraId="4D8A721B">
      <w:pPr>
        <w:spacing w:after="0" w:line="216" w:lineRule="auto"/>
        <w:ind w:left="1134"/>
        <w:rPr>
          <w:rFonts w:ascii="Arial Narrow" w:hAnsi="Arial Narrow"/>
          <w:b/>
          <w:bCs/>
          <w:sz w:val="18"/>
          <w:szCs w:val="18"/>
          <w:lang w:val="es-ES"/>
        </w:rPr>
      </w:pPr>
    </w:p>
    <w:p w14:paraId="5348447C">
      <w:pPr>
        <w:spacing w:after="0" w:line="216" w:lineRule="auto"/>
        <w:ind w:left="1134"/>
        <w:rPr>
          <w:rFonts w:ascii="Arial Narrow" w:hAnsi="Arial Narrow"/>
          <w:b/>
          <w:bCs/>
          <w:sz w:val="18"/>
          <w:szCs w:val="18"/>
          <w:lang w:val="es-ES"/>
        </w:rPr>
      </w:pPr>
    </w:p>
    <w:p w14:paraId="16781840">
      <w:pPr>
        <w:spacing w:after="0" w:line="360" w:lineRule="auto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  <w:t xml:space="preserve">UNIDAD DIDACTICA II: </w:t>
      </w:r>
    </w:p>
    <w:p w14:paraId="18470281">
      <w:pPr>
        <w:pStyle w:val="17"/>
        <w:numPr>
          <w:ilvl w:val="0"/>
          <w:numId w:val="7"/>
        </w:numPr>
        <w:spacing w:after="0" w:line="216" w:lineRule="auto"/>
        <w:ind w:left="1418"/>
        <w:rPr>
          <w:rFonts w:ascii="Arial Narrow" w:hAnsi="Arial Narrow"/>
          <w:bCs/>
          <w:color w:val="000000" w:themeColor="text1"/>
          <w:sz w:val="18"/>
          <w:szCs w:val="18"/>
          <w:lang w:val="es-ES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/>
          <w:bCs/>
          <w:color w:val="000000" w:themeColor="text1"/>
          <w:sz w:val="18"/>
          <w:szCs w:val="18"/>
          <w:lang w:val="es-ES"/>
          <w14:textFill>
            <w14:solidFill>
              <w14:schemeClr w14:val="tx1"/>
            </w14:solidFill>
          </w14:textFill>
        </w:rPr>
        <w:t xml:space="preserve">Alberto García Trius. Guía documental para exportar e importar. Los 12 documentos clave. Marge Books </w:t>
      </w:r>
    </w:p>
    <w:p w14:paraId="7737CBA1">
      <w:pPr>
        <w:pStyle w:val="17"/>
        <w:numPr>
          <w:ilvl w:val="0"/>
          <w:numId w:val="7"/>
        </w:numPr>
        <w:spacing w:after="0" w:line="216" w:lineRule="auto"/>
        <w:ind w:left="1418"/>
        <w:rPr>
          <w:rFonts w:ascii="Arial Narrow" w:hAnsi="Arial Narrow"/>
          <w:bCs/>
          <w:color w:val="000000" w:themeColor="text1"/>
          <w:sz w:val="18"/>
          <w:szCs w:val="18"/>
          <w:lang w:val="es-ES"/>
          <w14:textFill>
            <w14:solidFill>
              <w14:schemeClr w14:val="tx1"/>
            </w14:solidFill>
          </w14:textFill>
        </w:rPr>
      </w:pPr>
      <w:r>
        <w:fldChar w:fldCharType="begin"/>
      </w:r>
      <w:r>
        <w:instrText xml:space="preserve"> HYPERLINK "http://www.sunat.gob.pe/" </w:instrText>
      </w:r>
      <w:r>
        <w:fldChar w:fldCharType="separate"/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t>http://www.sunat.gob.pe/</w:t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fldChar w:fldCharType="end"/>
      </w:r>
    </w:p>
    <w:p w14:paraId="328BC53E">
      <w:pPr>
        <w:pStyle w:val="17"/>
        <w:numPr>
          <w:ilvl w:val="0"/>
          <w:numId w:val="7"/>
        </w:numPr>
        <w:spacing w:after="0" w:line="216" w:lineRule="auto"/>
        <w:ind w:left="1418"/>
        <w:rPr>
          <w:rFonts w:ascii="Arial Narrow" w:hAnsi="Arial Narrow"/>
          <w:bCs/>
          <w:sz w:val="18"/>
          <w:szCs w:val="18"/>
          <w:lang w:val="es-ES"/>
        </w:rPr>
      </w:pPr>
      <w:r>
        <w:fldChar w:fldCharType="begin"/>
      </w:r>
      <w:r>
        <w:instrText xml:space="preserve"> HYPERLINK "https://www.adexperu.org.pe/" </w:instrText>
      </w:r>
      <w:r>
        <w:fldChar w:fldCharType="separate"/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t>https://www.adexperu.org.pe/</w:t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fldChar w:fldCharType="end"/>
      </w:r>
    </w:p>
    <w:p w14:paraId="371AA8C6">
      <w:pPr>
        <w:pStyle w:val="17"/>
        <w:numPr>
          <w:ilvl w:val="0"/>
          <w:numId w:val="7"/>
        </w:numPr>
        <w:spacing w:after="0" w:line="216" w:lineRule="auto"/>
        <w:ind w:left="1418"/>
        <w:rPr>
          <w:rFonts w:ascii="Arial Narrow" w:hAnsi="Arial Narrow"/>
          <w:bCs/>
          <w:sz w:val="18"/>
          <w:szCs w:val="18"/>
          <w:lang w:val="es-ES"/>
        </w:rPr>
      </w:pPr>
      <w:r>
        <w:fldChar w:fldCharType="begin"/>
      </w:r>
      <w:r>
        <w:instrText xml:space="preserve"> HYPERLINK "https://exportemos.pe/" </w:instrText>
      </w:r>
      <w:r>
        <w:fldChar w:fldCharType="separate"/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t>https://exportemos.pe/</w:t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fldChar w:fldCharType="end"/>
      </w:r>
    </w:p>
    <w:p w14:paraId="14C99830">
      <w:pPr>
        <w:pStyle w:val="17"/>
        <w:numPr>
          <w:ilvl w:val="0"/>
          <w:numId w:val="7"/>
        </w:numPr>
        <w:spacing w:after="0" w:line="216" w:lineRule="auto"/>
        <w:ind w:left="1418"/>
        <w:rPr>
          <w:rFonts w:ascii="Arial Narrow" w:hAnsi="Arial Narrow"/>
          <w:bCs/>
          <w:sz w:val="18"/>
          <w:szCs w:val="18"/>
          <w:lang w:val="es-ES"/>
        </w:rPr>
      </w:pPr>
      <w:r>
        <w:fldChar w:fldCharType="begin"/>
      </w:r>
      <w:r>
        <w:instrText xml:space="preserve"> HYPERLINK "https://www.macmap.org/" </w:instrText>
      </w:r>
      <w:r>
        <w:fldChar w:fldCharType="separate"/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t>https://www.macmap.org/</w:t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fldChar w:fldCharType="end"/>
      </w:r>
    </w:p>
    <w:p w14:paraId="14E01E44">
      <w:pPr>
        <w:pStyle w:val="17"/>
        <w:numPr>
          <w:ilvl w:val="0"/>
          <w:numId w:val="7"/>
        </w:numPr>
        <w:spacing w:after="0" w:line="216" w:lineRule="auto"/>
        <w:ind w:left="1418"/>
        <w:rPr>
          <w:rFonts w:ascii="Arial Narrow" w:hAnsi="Arial Narrow"/>
          <w:bCs/>
          <w:sz w:val="18"/>
          <w:szCs w:val="18"/>
          <w:lang w:val="es-ES"/>
        </w:rPr>
      </w:pPr>
      <w:r>
        <w:rPr>
          <w:rFonts w:ascii="Arial Narrow" w:hAnsi="Arial Narrow"/>
          <w:bCs/>
          <w:sz w:val="18"/>
          <w:szCs w:val="18"/>
          <w:lang w:val="es-ES"/>
        </w:rPr>
        <w:t>https://servicios.senasa.gob.pe/consultaRequisitos/consultarRequisitos.action</w:t>
      </w:r>
    </w:p>
    <w:p w14:paraId="74F5CC59">
      <w:pPr>
        <w:pStyle w:val="17"/>
        <w:numPr>
          <w:ilvl w:val="0"/>
          <w:numId w:val="7"/>
        </w:numPr>
        <w:spacing w:after="0" w:line="216" w:lineRule="auto"/>
        <w:ind w:left="1418"/>
        <w:rPr>
          <w:rFonts w:ascii="Arial Narrow" w:hAnsi="Arial Narrow"/>
          <w:bCs/>
          <w:sz w:val="18"/>
          <w:szCs w:val="18"/>
          <w:lang w:val="es-ES"/>
        </w:rPr>
      </w:pPr>
      <w:r>
        <w:rPr>
          <w:rFonts w:ascii="Arial Narrow" w:hAnsi="Arial Narrow"/>
          <w:bCs/>
          <w:sz w:val="18"/>
          <w:szCs w:val="18"/>
          <w:lang w:val="es-ES"/>
        </w:rPr>
        <w:t>https://</w:t>
      </w:r>
      <w:r>
        <w:fldChar w:fldCharType="begin"/>
      </w:r>
      <w:r>
        <w:instrText xml:space="preserve"> HYPERLINK "http://www.latintrade.com" </w:instrText>
      </w:r>
      <w:r>
        <w:fldChar w:fldCharType="separate"/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t>www.latintrade.com</w:t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fldChar w:fldCharType="end"/>
      </w:r>
    </w:p>
    <w:p w14:paraId="14AD74A3">
      <w:pPr>
        <w:pStyle w:val="17"/>
        <w:numPr>
          <w:ilvl w:val="0"/>
          <w:numId w:val="7"/>
        </w:numPr>
        <w:spacing w:after="0" w:line="216" w:lineRule="auto"/>
        <w:ind w:left="1418"/>
        <w:rPr>
          <w:rFonts w:ascii="Arial Narrow" w:hAnsi="Arial Narrow"/>
          <w:bCs/>
          <w:sz w:val="18"/>
          <w:szCs w:val="18"/>
          <w:lang w:val="es-ES"/>
        </w:rPr>
      </w:pPr>
      <w:r>
        <w:rPr>
          <w:rFonts w:ascii="Arial Narrow" w:hAnsi="Arial Narrow"/>
          <w:bCs/>
          <w:sz w:val="18"/>
          <w:szCs w:val="18"/>
          <w:lang w:val="es-ES"/>
        </w:rPr>
        <w:t>https://www.prompex.gob.pe</w:t>
      </w:r>
    </w:p>
    <w:p w14:paraId="5D603FE5">
      <w:pPr>
        <w:pStyle w:val="17"/>
        <w:numPr>
          <w:ilvl w:val="0"/>
          <w:numId w:val="7"/>
        </w:numPr>
        <w:spacing w:after="0" w:line="216" w:lineRule="auto"/>
        <w:ind w:left="1418"/>
        <w:rPr>
          <w:rFonts w:ascii="Arial Narrow" w:hAnsi="Arial Narrow"/>
          <w:bCs/>
          <w:sz w:val="18"/>
          <w:szCs w:val="18"/>
          <w:lang w:val="es-ES"/>
        </w:rPr>
      </w:pPr>
      <w:r>
        <w:rPr>
          <w:rFonts w:ascii="Arial Narrow" w:hAnsi="Arial Narrow"/>
          <w:bCs/>
          <w:sz w:val="18"/>
          <w:szCs w:val="18"/>
          <w:lang w:val="es-ES"/>
        </w:rPr>
        <w:t xml:space="preserve">https://www.mincetur.gob.pe </w:t>
      </w:r>
    </w:p>
    <w:p w14:paraId="50801440">
      <w:pPr>
        <w:spacing w:after="0" w:line="360" w:lineRule="auto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</w:p>
    <w:p w14:paraId="5C95AFD8">
      <w:pPr>
        <w:spacing w:after="0" w:line="360" w:lineRule="auto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  <w:t xml:space="preserve">UNIDAD DIDACTICA III: </w:t>
      </w:r>
    </w:p>
    <w:p w14:paraId="7587CE14">
      <w:pPr>
        <w:pStyle w:val="17"/>
        <w:numPr>
          <w:ilvl w:val="0"/>
          <w:numId w:val="7"/>
        </w:numPr>
        <w:spacing w:after="0" w:line="240" w:lineRule="auto"/>
        <w:ind w:left="1418"/>
        <w:jc w:val="both"/>
        <w:rPr>
          <w:rStyle w:val="6"/>
          <w:rFonts w:ascii="Arial Narrow" w:hAnsi="Arial Narrow" w:cstheme="minorHAnsi"/>
          <w:bCs/>
          <w:color w:val="auto"/>
          <w:sz w:val="18"/>
          <w:szCs w:val="18"/>
          <w:u w:val="none"/>
        </w:rPr>
      </w:pPr>
      <w:r>
        <w:rPr>
          <w:rFonts w:ascii="Arial Narrow" w:hAnsi="Arial Narrow" w:cstheme="minorHAnsi"/>
          <w:bCs/>
          <w:sz w:val="18"/>
          <w:szCs w:val="18"/>
        </w:rPr>
        <w:t xml:space="preserve">Jose Escudero Serrano (2019). Logistica de Almacenamiento . </w:t>
      </w:r>
      <w:r>
        <w:fldChar w:fldCharType="begin"/>
      </w:r>
      <w:r>
        <w:instrText xml:space="preserve"> HYPERLINK "https://www.google.com.pe/books/edition/Log%C3%ADstica_de_almacenamiento_2_%C2%AA_edici/vcSPDwAAQBAJ?hl=es-419&amp;gbpv=1&amp;dq=ALMACENAMIENTO+PACKING&amp;pg=PA204&amp;printsec=frontcover" </w:instrText>
      </w:r>
      <w:r>
        <w:fldChar w:fldCharType="separate"/>
      </w:r>
      <w:r>
        <w:rPr>
          <w:rStyle w:val="6"/>
          <w:rFonts w:ascii="Arial Narrow" w:hAnsi="Arial Narrow" w:cstheme="minorHAnsi"/>
          <w:bCs/>
          <w:sz w:val="18"/>
          <w:szCs w:val="18"/>
        </w:rPr>
        <w:t>https://www.google.com.pe/books/edition/Log%C3%ADstica_de_almacenamiento_2_%C2%AA_edici/vcSPDwAAQBAJ?hl=es-419&amp;gbpv=1&amp;dq=ALMACENAMIENTO+PACKING&amp;pg=PA204&amp;printsec=frontcover</w:t>
      </w:r>
      <w:r>
        <w:rPr>
          <w:rStyle w:val="6"/>
          <w:rFonts w:ascii="Arial Narrow" w:hAnsi="Arial Narrow" w:cstheme="minorHAnsi"/>
          <w:bCs/>
          <w:sz w:val="18"/>
          <w:szCs w:val="18"/>
        </w:rPr>
        <w:fldChar w:fldCharType="end"/>
      </w:r>
    </w:p>
    <w:p w14:paraId="75F9C295">
      <w:pPr>
        <w:pStyle w:val="17"/>
        <w:numPr>
          <w:ilvl w:val="0"/>
          <w:numId w:val="7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r>
        <w:rPr>
          <w:rFonts w:ascii="Arial Narrow" w:hAnsi="Arial Narrow" w:cstheme="minorHAnsi"/>
          <w:bCs/>
          <w:sz w:val="18"/>
          <w:szCs w:val="18"/>
        </w:rPr>
        <w:t>Cristina Rodríguez Fischer. Reinventar Cajas, envases y embalajes. 2017</w:t>
      </w:r>
    </w:p>
    <w:p w14:paraId="09AACEEF">
      <w:pPr>
        <w:pStyle w:val="17"/>
        <w:numPr>
          <w:ilvl w:val="0"/>
          <w:numId w:val="7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r>
        <w:rPr>
          <w:rFonts w:ascii="Arial Narrow" w:hAnsi="Arial Narrow" w:cstheme="minorHAnsi"/>
          <w:bCs/>
          <w:sz w:val="18"/>
          <w:szCs w:val="18"/>
        </w:rPr>
        <w:t xml:space="preserve">Pablo Dorta Gonzalez. Transporte y logistica internacional. Aulamagna Proyecto Clave </w:t>
      </w:r>
    </w:p>
    <w:p w14:paraId="78D16397">
      <w:pPr>
        <w:pStyle w:val="17"/>
        <w:numPr>
          <w:ilvl w:val="0"/>
          <w:numId w:val="7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r>
        <w:rPr>
          <w:rFonts w:ascii="Arial Narrow" w:hAnsi="Arial Narrow" w:cstheme="minorHAnsi"/>
          <w:bCs/>
          <w:sz w:val="18"/>
          <w:szCs w:val="18"/>
        </w:rPr>
        <w:t xml:space="preserve">Servicios al exportador (2024), Codigos de conducta. Responsabilidad social empresarial en pymes exportadoras. </w:t>
      </w:r>
    </w:p>
    <w:p w14:paraId="13E67D9C">
      <w:pPr>
        <w:pStyle w:val="17"/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</w:p>
    <w:p w14:paraId="0C6D96ED">
      <w:pPr>
        <w:spacing w:after="0" w:line="360" w:lineRule="auto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</w:p>
    <w:p w14:paraId="6343BFFD">
      <w:pPr>
        <w:spacing w:after="0" w:line="360" w:lineRule="auto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  <w:r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  <w:t xml:space="preserve">UNIDAD DIDACTICA IV: </w:t>
      </w:r>
    </w:p>
    <w:p w14:paraId="39292819">
      <w:pPr>
        <w:pStyle w:val="17"/>
        <w:numPr>
          <w:ilvl w:val="0"/>
          <w:numId w:val="8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r>
        <w:rPr>
          <w:rFonts w:ascii="Arial Narrow" w:hAnsi="Arial Narrow" w:cstheme="minorHAnsi"/>
          <w:bCs/>
          <w:sz w:val="18"/>
          <w:szCs w:val="18"/>
        </w:rPr>
        <w:t>Minervini, Nicola. ( 2024) Ingeniería de la Exportación. La ruta para internacionalizar su empresa.</w:t>
      </w:r>
    </w:p>
    <w:p w14:paraId="7AF42317">
      <w:pPr>
        <w:pStyle w:val="17"/>
        <w:numPr>
          <w:ilvl w:val="0"/>
          <w:numId w:val="8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r>
        <w:rPr>
          <w:rFonts w:ascii="Arial Narrow" w:hAnsi="Arial Narrow" w:cstheme="minorHAnsi"/>
          <w:bCs/>
          <w:sz w:val="18"/>
          <w:szCs w:val="18"/>
        </w:rPr>
        <w:t xml:space="preserve">Rivera Nahrworld. (2022) Nuevas regulaciones ambientales internacionales: una oportunidad para la sostenibilidad y la competividad. </w:t>
      </w:r>
    </w:p>
    <w:p w14:paraId="02F32BA9">
      <w:pPr>
        <w:pStyle w:val="17"/>
        <w:numPr>
          <w:ilvl w:val="0"/>
          <w:numId w:val="8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r>
        <w:rPr>
          <w:rFonts w:ascii="Arial Narrow" w:hAnsi="Arial Narrow" w:cstheme="minorHAnsi"/>
          <w:bCs/>
          <w:sz w:val="18"/>
          <w:szCs w:val="18"/>
        </w:rPr>
        <w:t xml:space="preserve">Fernando Casana Merino. La Aplicación de los tributos en la importación y exportación de mercancías. </w:t>
      </w:r>
    </w:p>
    <w:p w14:paraId="45DEA113">
      <w:pPr>
        <w:pStyle w:val="17"/>
        <w:numPr>
          <w:ilvl w:val="0"/>
          <w:numId w:val="8"/>
        </w:numPr>
        <w:spacing w:after="0" w:line="240" w:lineRule="auto"/>
        <w:ind w:left="1418"/>
        <w:jc w:val="both"/>
        <w:rPr>
          <w:rFonts w:ascii="Arial Narrow" w:hAnsi="Arial Narrow" w:cstheme="minorHAnsi"/>
          <w:bCs/>
          <w:sz w:val="18"/>
          <w:szCs w:val="18"/>
        </w:rPr>
      </w:pPr>
      <w:r>
        <w:rPr>
          <w:rFonts w:ascii="Arial Narrow" w:hAnsi="Arial Narrow" w:cstheme="minorHAnsi"/>
          <w:bCs/>
          <w:sz w:val="18"/>
          <w:szCs w:val="18"/>
        </w:rPr>
        <w:t xml:space="preserve">Tratado de Aduanas e Impuestos Especiales. Benjamí Masco 2013. </w:t>
      </w:r>
    </w:p>
    <w:p w14:paraId="08D635F7">
      <w:pPr>
        <w:pStyle w:val="17"/>
        <w:numPr>
          <w:ilvl w:val="0"/>
          <w:numId w:val="8"/>
        </w:numPr>
        <w:spacing w:after="0" w:line="216" w:lineRule="auto"/>
        <w:ind w:left="1418"/>
        <w:rPr>
          <w:rFonts w:ascii="Arial Narrow" w:hAnsi="Arial Narrow"/>
          <w:bCs/>
          <w:sz w:val="18"/>
          <w:szCs w:val="18"/>
          <w:lang w:val="es-ES"/>
        </w:rPr>
      </w:pPr>
      <w:r>
        <w:fldChar w:fldCharType="begin"/>
      </w:r>
      <w:r>
        <w:instrText xml:space="preserve"> HYPERLINK "https://repositorio.promperu.gob.pe/" </w:instrText>
      </w:r>
      <w:r>
        <w:fldChar w:fldCharType="separate"/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t>https://repositorio.promperu.gob.pe/</w:t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fldChar w:fldCharType="end"/>
      </w:r>
    </w:p>
    <w:p w14:paraId="1CE109F7">
      <w:pPr>
        <w:pStyle w:val="17"/>
        <w:numPr>
          <w:ilvl w:val="0"/>
          <w:numId w:val="8"/>
        </w:numPr>
        <w:spacing w:after="0" w:line="216" w:lineRule="auto"/>
        <w:ind w:left="1418"/>
        <w:rPr>
          <w:rFonts w:ascii="Arial Narrow" w:hAnsi="Arial Narrow"/>
          <w:bCs/>
          <w:sz w:val="18"/>
          <w:szCs w:val="18"/>
          <w:lang w:val="es-ES"/>
        </w:rPr>
      </w:pPr>
      <w:r>
        <w:rPr>
          <w:rFonts w:ascii="Arial Narrow" w:hAnsi="Arial Narrow"/>
          <w:bCs/>
          <w:sz w:val="18"/>
          <w:szCs w:val="18"/>
          <w:lang w:val="es-ES"/>
        </w:rPr>
        <w:t>https://</w:t>
      </w:r>
      <w:r>
        <w:fldChar w:fldCharType="begin"/>
      </w:r>
      <w:r>
        <w:instrText xml:space="preserve"> HYPERLINK "http://www.wto.org" </w:instrText>
      </w:r>
      <w:r>
        <w:fldChar w:fldCharType="separate"/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t>www.wto.org</w:t>
      </w:r>
      <w:r>
        <w:rPr>
          <w:rStyle w:val="6"/>
          <w:rFonts w:ascii="Arial Narrow" w:hAnsi="Arial Narrow"/>
          <w:bCs/>
          <w:sz w:val="18"/>
          <w:szCs w:val="18"/>
          <w:lang w:val="es-ES"/>
        </w:rPr>
        <w:fldChar w:fldCharType="end"/>
      </w:r>
    </w:p>
    <w:p w14:paraId="00481C48">
      <w:pPr>
        <w:spacing w:after="0" w:line="360" w:lineRule="auto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</w:p>
    <w:p w14:paraId="69719792">
      <w:pPr>
        <w:spacing w:after="0" w:line="360" w:lineRule="auto"/>
        <w:ind w:left="567"/>
        <w:jc w:val="both"/>
        <w:rPr>
          <w:rFonts w:ascii="Arial Narrow" w:hAnsi="Arial Narrow" w:eastAsia="Times New Roman"/>
          <w:b/>
          <w:iCs/>
          <w:sz w:val="18"/>
          <w:szCs w:val="18"/>
          <w:lang w:val="es-ES" w:eastAsia="es-ES"/>
        </w:rPr>
      </w:pPr>
    </w:p>
    <w:p w14:paraId="45D0BCB1">
      <w:pPr>
        <w:spacing w:after="0" w:line="216" w:lineRule="auto"/>
        <w:rPr>
          <w:rFonts w:ascii="Arial Narrow" w:hAnsi="Arial Narrow"/>
          <w:sz w:val="18"/>
          <w:szCs w:val="18"/>
          <w:lang w:val="es-ES"/>
        </w:rPr>
        <w:sectPr>
          <w:type w:val="continuous"/>
          <w:pgSz w:w="11906" w:h="16838"/>
          <w:pgMar w:top="1418" w:right="1701" w:bottom="1418" w:left="1701" w:header="709" w:footer="567" w:gutter="0"/>
          <w:cols w:space="708" w:num="1"/>
          <w:docGrid w:linePitch="360" w:charSpace="0"/>
        </w:sectPr>
      </w:pPr>
    </w:p>
    <w:p w14:paraId="73E3B5CD">
      <w:pPr>
        <w:pStyle w:val="17"/>
        <w:numPr>
          <w:ilvl w:val="0"/>
          <w:numId w:val="1"/>
        </w:numPr>
        <w:spacing w:after="0" w:line="216" w:lineRule="auto"/>
        <w:rPr>
          <w:rFonts w:ascii="Arial Narrow" w:hAnsi="Arial Narrow"/>
          <w:b/>
          <w:bCs/>
          <w:sz w:val="18"/>
          <w:szCs w:val="18"/>
          <w:lang w:val="es-ES"/>
        </w:rPr>
      </w:pPr>
      <w:r>
        <w:rPr>
          <w:rFonts w:ascii="Arial Narrow" w:hAnsi="Arial Narrow"/>
          <w:b/>
          <w:bCs/>
          <w:sz w:val="18"/>
          <w:szCs w:val="18"/>
          <w:lang w:val="es-ES"/>
        </w:rPr>
        <w:t xml:space="preserve">PROBLEMAS QUE EL ESTUDIANTE RESOLVERÀ AL FINALIZAR EL CURSO </w:t>
      </w:r>
    </w:p>
    <w:p w14:paraId="01C28212">
      <w:pPr>
        <w:pStyle w:val="17"/>
        <w:spacing w:after="0" w:line="216" w:lineRule="auto"/>
        <w:ind w:left="1146"/>
        <w:rPr>
          <w:rFonts w:ascii="Arial Narrow" w:hAnsi="Arial Narrow"/>
          <w:b/>
          <w:bCs/>
          <w:sz w:val="4"/>
          <w:szCs w:val="4"/>
          <w:lang w:val="es-ES"/>
        </w:rPr>
      </w:pPr>
    </w:p>
    <w:p w14:paraId="1E04A51D">
      <w:pPr>
        <w:spacing w:after="0"/>
        <w:ind w:right="-1"/>
        <w:jc w:val="center"/>
        <w:rPr>
          <w:rFonts w:ascii="Arial Narrow" w:hAnsi="Arial Narrow"/>
          <w:b/>
          <w:sz w:val="18"/>
          <w:szCs w:val="18"/>
        </w:rPr>
      </w:pPr>
    </w:p>
    <w:tbl>
      <w:tblPr>
        <w:tblStyle w:val="11"/>
        <w:tblpPr w:leftFromText="141" w:rightFromText="141" w:vertAnchor="text" w:horzAnchor="margin" w:tblpXSpec="center" w:tblpY="-4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0"/>
        <w:gridCol w:w="3969"/>
        <w:gridCol w:w="4819"/>
      </w:tblGrid>
      <w:tr w14:paraId="038CF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4390" w:type="dxa"/>
            <w:shd w:val="clear" w:color="auto" w:fill="D8D8D8" w:themeFill="background1" w:themeFillShade="D9"/>
            <w:vAlign w:val="center"/>
          </w:tcPr>
          <w:p w14:paraId="333F0256">
            <w:pPr>
              <w:pStyle w:val="17"/>
              <w:ind w:left="0" w:hanging="109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MAGNITUD CAUSAL OBJETO DEL PROBLEMA</w:t>
            </w:r>
          </w:p>
        </w:tc>
        <w:tc>
          <w:tcPr>
            <w:tcW w:w="3969" w:type="dxa"/>
            <w:shd w:val="clear" w:color="auto" w:fill="D8D8D8" w:themeFill="background1" w:themeFillShade="D9"/>
            <w:vAlign w:val="center"/>
          </w:tcPr>
          <w:p w14:paraId="13495B96">
            <w:pPr>
              <w:pStyle w:val="17"/>
              <w:ind w:left="178" w:hanging="283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ACCIÓN METRICA DE VINCULACIÓN</w:t>
            </w:r>
          </w:p>
        </w:tc>
        <w:tc>
          <w:tcPr>
            <w:tcW w:w="4819" w:type="dxa"/>
            <w:shd w:val="clear" w:color="auto" w:fill="D8D8D8" w:themeFill="background1" w:themeFillShade="D9"/>
            <w:vAlign w:val="center"/>
          </w:tcPr>
          <w:p w14:paraId="004B41C4">
            <w:pPr>
              <w:pStyle w:val="17"/>
              <w:ind w:left="10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CONSECUENCIA METRICA VINCULANTE DE LA </w:t>
            </w:r>
          </w:p>
          <w:p w14:paraId="6226BF7D">
            <w:pPr>
              <w:pStyle w:val="17"/>
              <w:ind w:left="10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ACCIÓN</w:t>
            </w:r>
          </w:p>
        </w:tc>
      </w:tr>
      <w:tr w14:paraId="5FF9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4390" w:type="dxa"/>
          </w:tcPr>
          <w:p w14:paraId="52C347CE">
            <w:pPr>
              <w:pStyle w:val="17"/>
              <w:tabs>
                <w:tab w:val="left" w:pos="2583"/>
              </w:tabs>
              <w:ind w:left="0" w:right="29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Falta de planificación estratégica en la internacionalización de la empresa.</w:t>
            </w:r>
          </w:p>
        </w:tc>
        <w:tc>
          <w:tcPr>
            <w:tcW w:w="3969" w:type="dxa"/>
          </w:tcPr>
          <w:p w14:paraId="28A69BF4">
            <w:pPr>
              <w:pStyle w:val="17"/>
              <w:ind w:left="0" w:right="29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Aplicación de herramientas de análisis de mercados internacionales y estrategias de entrada.</w:t>
            </w:r>
          </w:p>
        </w:tc>
        <w:tc>
          <w:tcPr>
            <w:tcW w:w="4819" w:type="dxa"/>
          </w:tcPr>
          <w:p w14:paraId="1AB9AB9F">
            <w:pPr>
              <w:pStyle w:val="17"/>
              <w:ind w:left="0" w:right="29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Incremento en la tasa de éxito de internacionalización en un 30%.</w:t>
            </w:r>
          </w:p>
        </w:tc>
      </w:tr>
      <w:tr w14:paraId="7A36A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4390" w:type="dxa"/>
          </w:tcPr>
          <w:p w14:paraId="087977AE">
            <w:pPr>
              <w:pStyle w:val="17"/>
              <w:tabs>
                <w:tab w:val="left" w:pos="2583"/>
              </w:tabs>
              <w:ind w:left="31" w:right="29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Deficiencia en el acceso a información relevante sobre mercados exteriores.</w:t>
            </w:r>
          </w:p>
        </w:tc>
        <w:tc>
          <w:tcPr>
            <w:tcW w:w="3969" w:type="dxa"/>
          </w:tcPr>
          <w:p w14:paraId="36F0FD7E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Implementación de estudios de mercado y fuentes de inteligencia comercial.</w:t>
            </w:r>
          </w:p>
        </w:tc>
        <w:tc>
          <w:tcPr>
            <w:tcW w:w="4819" w:type="dxa"/>
          </w:tcPr>
          <w:p w14:paraId="563995DA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Reducción del 20% en la incertidumbre del mercado objetivo.</w:t>
            </w:r>
          </w:p>
        </w:tc>
      </w:tr>
      <w:tr w14:paraId="0EA12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4390" w:type="dxa"/>
          </w:tcPr>
          <w:p w14:paraId="1D9238AF">
            <w:pPr>
              <w:pStyle w:val="17"/>
              <w:tabs>
                <w:tab w:val="left" w:pos="2583"/>
              </w:tabs>
              <w:ind w:left="0" w:right="29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Baja percepción de la marca y falta de diferenciación en mercados internacionales.</w:t>
            </w:r>
          </w:p>
        </w:tc>
        <w:tc>
          <w:tcPr>
            <w:tcW w:w="3969" w:type="dxa"/>
          </w:tcPr>
          <w:p w14:paraId="0D9562BA">
            <w:pPr>
              <w:pStyle w:val="17"/>
              <w:ind w:left="39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Desarrollo de estrategias de branding internacional y certificaciones de calidad.</w:t>
            </w:r>
          </w:p>
        </w:tc>
        <w:tc>
          <w:tcPr>
            <w:tcW w:w="4819" w:type="dxa"/>
          </w:tcPr>
          <w:p w14:paraId="36F9222F">
            <w:pPr>
              <w:pStyle w:val="17"/>
              <w:tabs>
                <w:tab w:val="left" w:pos="2583"/>
              </w:tabs>
              <w:ind w:left="31" w:right="29" w:hanging="3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Aumento del 25% en el reconocimiento de marca en el mercado objetivo.</w:t>
            </w:r>
          </w:p>
        </w:tc>
      </w:tr>
      <w:tr w14:paraId="675B9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90" w:type="dxa"/>
          </w:tcPr>
          <w:p w14:paraId="57CCCD26">
            <w:pPr>
              <w:pStyle w:val="17"/>
              <w:ind w:left="0" w:firstLine="33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Falta de conocimiento sobre regulaciones y normativas internacionales.</w:t>
            </w:r>
          </w:p>
        </w:tc>
        <w:tc>
          <w:tcPr>
            <w:tcW w:w="3969" w:type="dxa"/>
          </w:tcPr>
          <w:p w14:paraId="66E70F6E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Implementación de estándares internacionales (ISO, FDA, HACCP).</w:t>
            </w:r>
          </w:p>
        </w:tc>
        <w:tc>
          <w:tcPr>
            <w:tcW w:w="4819" w:type="dxa"/>
          </w:tcPr>
          <w:p w14:paraId="4947ECFD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Disminución del 40% en rechazos de productos en aduanas extranjeras.</w:t>
            </w:r>
          </w:p>
        </w:tc>
      </w:tr>
      <w:tr w14:paraId="0D8DA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4390" w:type="dxa"/>
          </w:tcPr>
          <w:p w14:paraId="3F3D5806">
            <w:pPr>
              <w:pStyle w:val="17"/>
              <w:ind w:left="0" w:firstLine="3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Desconocimiento de costos logísticos y su impacto en la rentabilidad.</w:t>
            </w:r>
          </w:p>
        </w:tc>
        <w:tc>
          <w:tcPr>
            <w:tcW w:w="3969" w:type="dxa"/>
          </w:tcPr>
          <w:p w14:paraId="2F66A18B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Evaluación de costos logísticos y estrategias de optimización en la cadena de suministro.</w:t>
            </w:r>
          </w:p>
        </w:tc>
        <w:tc>
          <w:tcPr>
            <w:tcW w:w="4819" w:type="dxa"/>
          </w:tcPr>
          <w:p w14:paraId="0F50104A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Reducción del 15% en costos operativos y mejora en tiempos de entrega.</w:t>
            </w:r>
          </w:p>
        </w:tc>
      </w:tr>
      <w:tr w14:paraId="23B2B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390" w:type="dxa"/>
          </w:tcPr>
          <w:p w14:paraId="44392AD3">
            <w:pPr>
              <w:pStyle w:val="17"/>
              <w:ind w:left="0" w:firstLine="3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Falta de financiamiento para la internacionalización de la empresa.</w:t>
            </w:r>
          </w:p>
        </w:tc>
        <w:tc>
          <w:tcPr>
            <w:tcW w:w="3969" w:type="dxa"/>
          </w:tcPr>
          <w:p w14:paraId="602CC521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Gestión de créditos de exportación y programas de incentivos gubernamentales.</w:t>
            </w:r>
          </w:p>
        </w:tc>
        <w:tc>
          <w:tcPr>
            <w:tcW w:w="4819" w:type="dxa"/>
          </w:tcPr>
          <w:p w14:paraId="30937315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Incremento del 35% en la obtención de financiamiento para exportaciones.</w:t>
            </w:r>
          </w:p>
        </w:tc>
      </w:tr>
      <w:tr w14:paraId="068B5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390" w:type="dxa"/>
          </w:tcPr>
          <w:p w14:paraId="78B0347B">
            <w:pPr>
              <w:pStyle w:val="17"/>
              <w:ind w:left="0" w:firstLine="3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Ineficiencia en la gestión de riesgos asociados a exportaciones.</w:t>
            </w:r>
          </w:p>
        </w:tc>
        <w:tc>
          <w:tcPr>
            <w:tcW w:w="3969" w:type="dxa"/>
          </w:tcPr>
          <w:p w14:paraId="1ADA46D3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Aplicación de estrategias de cobertura cambiaria y seguros de exportación.</w:t>
            </w:r>
          </w:p>
        </w:tc>
        <w:tc>
          <w:tcPr>
            <w:tcW w:w="4819" w:type="dxa"/>
          </w:tcPr>
          <w:p w14:paraId="42DBD51C">
            <w:pPr>
              <w:pStyle w:val="17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Reducción del 30% en pérdidas por fluctuaciones cambiarias y riesgos comerciales.</w:t>
            </w:r>
          </w:p>
        </w:tc>
      </w:tr>
    </w:tbl>
    <w:p w14:paraId="0DA3BEDF">
      <w:pPr>
        <w:spacing w:after="0" w:line="216" w:lineRule="auto"/>
        <w:jc w:val="right"/>
        <w:rPr>
          <w:rFonts w:ascii="Arial Narrow" w:hAnsi="Arial Narrow" w:eastAsia="Times New Roman" w:cs="Arial"/>
          <w:b/>
          <w:color w:val="FF0000"/>
          <w:sz w:val="18"/>
          <w:szCs w:val="18"/>
          <w:lang w:eastAsia="es-ES"/>
        </w:rPr>
      </w:pPr>
      <w:r>
        <w:rPr>
          <w:rFonts w:ascii="Arial Narrow" w:hAnsi="Arial Narrow"/>
          <w:sz w:val="18"/>
          <w:szCs w:val="18"/>
          <w:lang w:val="es-ES"/>
        </w:rPr>
        <w:t xml:space="preserve">Huacho, </w:t>
      </w:r>
      <w:r>
        <w:rPr>
          <w:rFonts w:hint="default" w:ascii="Arial Narrow" w:hAnsi="Arial Narrow"/>
          <w:sz w:val="18"/>
          <w:szCs w:val="18"/>
          <w:lang w:val="es-PE"/>
        </w:rPr>
        <w:t>agosto</w:t>
      </w:r>
      <w:r>
        <w:rPr>
          <w:rFonts w:ascii="Arial Narrow" w:hAnsi="Arial Narrow"/>
          <w:sz w:val="18"/>
          <w:szCs w:val="18"/>
          <w:lang w:val="es-ES"/>
        </w:rPr>
        <w:t>, 2026</w:t>
      </w:r>
      <w:r>
        <w:rPr>
          <w:rFonts w:ascii="Arial Narrow" w:hAnsi="Arial Narrow" w:eastAsia="Times New Roman" w:cs="Arial"/>
          <w:iCs/>
          <w:sz w:val="18"/>
          <w:szCs w:val="18"/>
          <w:lang w:val="es-ES" w:eastAsia="es-ES"/>
        </w:rPr>
        <w:t xml:space="preserve">                                                                                 </w:t>
      </w:r>
      <w:r>
        <w:rPr>
          <w:rFonts w:ascii="Arial Narrow" w:hAnsi="Arial Narrow" w:eastAsia="Times New Roman" w:cs="Arial"/>
          <w:sz w:val="18"/>
          <w:szCs w:val="18"/>
          <w:lang w:val="es-ES" w:eastAsia="es-ES"/>
        </w:rPr>
        <w:t xml:space="preserve">                                                                                                             </w:t>
      </w:r>
    </w:p>
    <w:p w14:paraId="5DDE2B14">
      <w:pPr>
        <w:rPr>
          <w:rFonts w:ascii="Arial Narrow" w:hAnsi="Arial Narrow"/>
          <w:sz w:val="18"/>
          <w:szCs w:val="18"/>
        </w:rPr>
      </w:pPr>
    </w:p>
    <w:p w14:paraId="2F2795B4">
      <w:pPr>
        <w:spacing w:after="0"/>
        <w:jc w:val="center"/>
        <w:rPr>
          <w:rFonts w:ascii="Arial Narrow" w:hAnsi="Arial Narrow"/>
          <w:sz w:val="18"/>
          <w:szCs w:val="18"/>
        </w:rPr>
      </w:pPr>
    </w:p>
    <w:p w14:paraId="76CB8125">
      <w:pPr>
        <w:spacing w:after="0"/>
        <w:jc w:val="center"/>
        <w:rPr>
          <w:rFonts w:ascii="Arial Narrow" w:hAnsi="Arial Narrow"/>
          <w:sz w:val="18"/>
          <w:szCs w:val="18"/>
        </w:rPr>
      </w:pPr>
    </w:p>
    <w:p w14:paraId="1CA6E266">
      <w:pPr>
        <w:spacing w:after="0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__________________________________</w:t>
      </w:r>
    </w:p>
    <w:p w14:paraId="49482BE2">
      <w:pPr>
        <w:spacing w:after="0"/>
        <w:jc w:val="center"/>
        <w:rPr>
          <w:rFonts w:ascii="Arial Narrow" w:hAnsi="Arial Narrow"/>
          <w:sz w:val="18"/>
          <w:szCs w:val="18"/>
          <w:lang w:val="es-ES"/>
        </w:rPr>
      </w:pPr>
      <w:r>
        <w:rPr>
          <w:rFonts w:ascii="Arial Narrow" w:hAnsi="Arial Narrow"/>
          <w:sz w:val="18"/>
          <w:szCs w:val="18"/>
          <w:lang w:val="es-ES"/>
        </w:rPr>
        <w:t>M(o). CARLA MILAGROS ESPINOZA MORE</w:t>
      </w:r>
    </w:p>
    <w:p w14:paraId="70C86C38">
      <w:pPr>
        <w:spacing w:after="0"/>
        <w:jc w:val="center"/>
        <w:rPr>
          <w:rFonts w:ascii="Arial Narrow" w:hAnsi="Arial Narrow"/>
          <w:sz w:val="18"/>
          <w:szCs w:val="18"/>
          <w:lang w:val="es-ES"/>
        </w:rPr>
      </w:pPr>
      <w:r>
        <w:rPr>
          <w:rFonts w:ascii="Arial Narrow" w:hAnsi="Arial Narrow"/>
          <w:sz w:val="18"/>
          <w:szCs w:val="18"/>
          <w:lang w:val="es-ES"/>
        </w:rPr>
        <w:t>DOCENTE</w:t>
      </w:r>
    </w:p>
    <w:p w14:paraId="4109CAC6">
      <w:pPr>
        <w:rPr>
          <w:rFonts w:ascii="Arial Narrow" w:hAnsi="Arial Narrow"/>
          <w:sz w:val="18"/>
          <w:szCs w:val="18"/>
        </w:rPr>
      </w:pPr>
    </w:p>
    <w:sectPr>
      <w:headerReference r:id="rId8" w:type="default"/>
      <w:pgSz w:w="16838" w:h="11906" w:orient="landscape"/>
      <w:pgMar w:top="1701" w:right="1418" w:bottom="1701" w:left="1418" w:header="709" w:footer="56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80466">
    <w:pPr>
      <w:pStyle w:val="14"/>
      <w:tabs>
        <w:tab w:val="left" w:pos="10317"/>
      </w:tabs>
      <w:rPr>
        <w:lang w:val="es-E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A40F1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8A712">
    <w:pPr>
      <w:pStyle w:val="8"/>
      <w:tabs>
        <w:tab w:val="clear" w:pos="8504"/>
      </w:tabs>
      <w:rPr>
        <w:rFonts w:ascii="Cambria" w:hAnsi="Cambria"/>
        <w:sz w:val="4"/>
        <w:szCs w:val="4"/>
      </w:rPr>
    </w:pPr>
    <w:r>
      <w:rPr>
        <w:b/>
      </w:rPr>
      <w:t xml:space="preserve">   </w:t>
    </w:r>
  </w:p>
  <w:p w14:paraId="225E3CED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5CD58">
    <w:pPr>
      <w:pStyle w:val="8"/>
      <w:tabs>
        <w:tab w:val="clear" w:pos="8504"/>
      </w:tabs>
      <w:rPr>
        <w:rFonts w:ascii="Cambria" w:hAnsi="Cambria"/>
        <w:sz w:val="4"/>
        <w:szCs w:val="4"/>
      </w:rPr>
    </w:pPr>
    <w:r>
      <w:rPr>
        <w:b/>
      </w:rPr>
      <w:t xml:space="preserve">   </w:t>
    </w:r>
  </w:p>
  <w:p w14:paraId="11C38CA0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4"/>
    <w:multiLevelType w:val="multilevel"/>
    <w:tmpl w:val="0000000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40C28"/>
    <w:multiLevelType w:val="multilevel"/>
    <w:tmpl w:val="0A440C2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6ADE"/>
    <w:multiLevelType w:val="multilevel"/>
    <w:tmpl w:val="0B486ADE"/>
    <w:lvl w:ilvl="0" w:tentative="0">
      <w:start w:val="1"/>
      <w:numFmt w:val="bullet"/>
      <w:lvlText w:val=""/>
      <w:lvlJc w:val="left"/>
      <w:pPr>
        <w:ind w:left="213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85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57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29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01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73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45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17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897" w:hanging="360"/>
      </w:pPr>
      <w:rPr>
        <w:rFonts w:hint="default" w:ascii="Wingdings" w:hAnsi="Wingdings"/>
      </w:rPr>
    </w:lvl>
  </w:abstractNum>
  <w:abstractNum w:abstractNumId="5">
    <w:nsid w:val="16C23FE8"/>
    <w:multiLevelType w:val="multilevel"/>
    <w:tmpl w:val="16C23FE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2741F"/>
    <w:multiLevelType w:val="multilevel"/>
    <w:tmpl w:val="26D2741F"/>
    <w:lvl w:ilvl="0" w:tentative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>
    <w:nsid w:val="2F3C5611"/>
    <w:multiLevelType w:val="multilevel"/>
    <w:tmpl w:val="2F3C5611"/>
    <w:lvl w:ilvl="0" w:tentative="0">
      <w:start w:val="1"/>
      <w:numFmt w:val="bullet"/>
      <w:lvlText w:val=""/>
      <w:lvlJc w:val="left"/>
      <w:pPr>
        <w:ind w:left="221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93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65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37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09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81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53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25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974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FA"/>
    <w:rsid w:val="00020BAA"/>
    <w:rsid w:val="000363BC"/>
    <w:rsid w:val="00043F3D"/>
    <w:rsid w:val="00052D23"/>
    <w:rsid w:val="00076DAA"/>
    <w:rsid w:val="00096E95"/>
    <w:rsid w:val="000A70D4"/>
    <w:rsid w:val="000C40B6"/>
    <w:rsid w:val="000E41B7"/>
    <w:rsid w:val="000E5AC3"/>
    <w:rsid w:val="000F0F30"/>
    <w:rsid w:val="00105286"/>
    <w:rsid w:val="00110DFD"/>
    <w:rsid w:val="00112378"/>
    <w:rsid w:val="00134562"/>
    <w:rsid w:val="00134CDC"/>
    <w:rsid w:val="00142001"/>
    <w:rsid w:val="00143066"/>
    <w:rsid w:val="001530B8"/>
    <w:rsid w:val="00161D2E"/>
    <w:rsid w:val="0017259E"/>
    <w:rsid w:val="001949AF"/>
    <w:rsid w:val="001A308D"/>
    <w:rsid w:val="001A7E36"/>
    <w:rsid w:val="001B6519"/>
    <w:rsid w:val="001C6935"/>
    <w:rsid w:val="001D0F6C"/>
    <w:rsid w:val="001F2626"/>
    <w:rsid w:val="00202D92"/>
    <w:rsid w:val="00214C98"/>
    <w:rsid w:val="00226EBD"/>
    <w:rsid w:val="00237737"/>
    <w:rsid w:val="00247D10"/>
    <w:rsid w:val="002609AA"/>
    <w:rsid w:val="00261E5E"/>
    <w:rsid w:val="00280459"/>
    <w:rsid w:val="00292491"/>
    <w:rsid w:val="002B7421"/>
    <w:rsid w:val="002C49F9"/>
    <w:rsid w:val="002D0631"/>
    <w:rsid w:val="002F5B53"/>
    <w:rsid w:val="0031204C"/>
    <w:rsid w:val="00314BFA"/>
    <w:rsid w:val="00317118"/>
    <w:rsid w:val="00353BCD"/>
    <w:rsid w:val="0038119A"/>
    <w:rsid w:val="00384C4A"/>
    <w:rsid w:val="00393D9B"/>
    <w:rsid w:val="003F1796"/>
    <w:rsid w:val="004202F9"/>
    <w:rsid w:val="0042369B"/>
    <w:rsid w:val="00432E43"/>
    <w:rsid w:val="0046219B"/>
    <w:rsid w:val="00466F6B"/>
    <w:rsid w:val="00474EDF"/>
    <w:rsid w:val="00476AD1"/>
    <w:rsid w:val="00491591"/>
    <w:rsid w:val="004960DA"/>
    <w:rsid w:val="00497BF5"/>
    <w:rsid w:val="004A3DFA"/>
    <w:rsid w:val="004A4EE6"/>
    <w:rsid w:val="004E0F6A"/>
    <w:rsid w:val="00527BC4"/>
    <w:rsid w:val="0053265E"/>
    <w:rsid w:val="005415B8"/>
    <w:rsid w:val="005677C8"/>
    <w:rsid w:val="00570C4B"/>
    <w:rsid w:val="00590DF3"/>
    <w:rsid w:val="005B44D1"/>
    <w:rsid w:val="005B7195"/>
    <w:rsid w:val="005C7763"/>
    <w:rsid w:val="005E4D48"/>
    <w:rsid w:val="00603ACA"/>
    <w:rsid w:val="00621D4F"/>
    <w:rsid w:val="00623CB5"/>
    <w:rsid w:val="00650DA0"/>
    <w:rsid w:val="00661945"/>
    <w:rsid w:val="00674A8C"/>
    <w:rsid w:val="00681DF5"/>
    <w:rsid w:val="00691AA6"/>
    <w:rsid w:val="006A55DD"/>
    <w:rsid w:val="00703C3F"/>
    <w:rsid w:val="0071368F"/>
    <w:rsid w:val="007209F5"/>
    <w:rsid w:val="00776D0C"/>
    <w:rsid w:val="007820C1"/>
    <w:rsid w:val="00786749"/>
    <w:rsid w:val="00786AB7"/>
    <w:rsid w:val="0079410B"/>
    <w:rsid w:val="007A2366"/>
    <w:rsid w:val="007B3627"/>
    <w:rsid w:val="007B66DA"/>
    <w:rsid w:val="007D46F7"/>
    <w:rsid w:val="007E0C5A"/>
    <w:rsid w:val="00806761"/>
    <w:rsid w:val="00824ABE"/>
    <w:rsid w:val="008404DF"/>
    <w:rsid w:val="008B23F1"/>
    <w:rsid w:val="008B3BF6"/>
    <w:rsid w:val="008D6B2B"/>
    <w:rsid w:val="008E364D"/>
    <w:rsid w:val="0092383A"/>
    <w:rsid w:val="009947F0"/>
    <w:rsid w:val="009A618B"/>
    <w:rsid w:val="009A6461"/>
    <w:rsid w:val="009B09F2"/>
    <w:rsid w:val="009B4189"/>
    <w:rsid w:val="009C21A1"/>
    <w:rsid w:val="009D6022"/>
    <w:rsid w:val="009E5365"/>
    <w:rsid w:val="009F5E93"/>
    <w:rsid w:val="009F7CF5"/>
    <w:rsid w:val="00A1239A"/>
    <w:rsid w:val="00A21359"/>
    <w:rsid w:val="00A21D27"/>
    <w:rsid w:val="00A21F5C"/>
    <w:rsid w:val="00A24961"/>
    <w:rsid w:val="00A60BF9"/>
    <w:rsid w:val="00A91473"/>
    <w:rsid w:val="00A927FD"/>
    <w:rsid w:val="00AA2BDE"/>
    <w:rsid w:val="00AB4E6F"/>
    <w:rsid w:val="00AC2607"/>
    <w:rsid w:val="00AC48E5"/>
    <w:rsid w:val="00AD20D3"/>
    <w:rsid w:val="00AE2F4F"/>
    <w:rsid w:val="00AF51CD"/>
    <w:rsid w:val="00B0051F"/>
    <w:rsid w:val="00B254BC"/>
    <w:rsid w:val="00B261CD"/>
    <w:rsid w:val="00B32D5A"/>
    <w:rsid w:val="00B611B2"/>
    <w:rsid w:val="00B621B1"/>
    <w:rsid w:val="00B67759"/>
    <w:rsid w:val="00B72AE6"/>
    <w:rsid w:val="00B74D62"/>
    <w:rsid w:val="00B87A86"/>
    <w:rsid w:val="00BB5D45"/>
    <w:rsid w:val="00BB6CD4"/>
    <w:rsid w:val="00BC627D"/>
    <w:rsid w:val="00BD0B72"/>
    <w:rsid w:val="00BD4442"/>
    <w:rsid w:val="00BF0289"/>
    <w:rsid w:val="00C029AA"/>
    <w:rsid w:val="00C150CD"/>
    <w:rsid w:val="00C21F83"/>
    <w:rsid w:val="00C33AF6"/>
    <w:rsid w:val="00C35200"/>
    <w:rsid w:val="00C53D87"/>
    <w:rsid w:val="00C54038"/>
    <w:rsid w:val="00C6030D"/>
    <w:rsid w:val="00C65DF1"/>
    <w:rsid w:val="00C93835"/>
    <w:rsid w:val="00CA4BE5"/>
    <w:rsid w:val="00CB17F4"/>
    <w:rsid w:val="00CB4BE4"/>
    <w:rsid w:val="00CB51F6"/>
    <w:rsid w:val="00CB6277"/>
    <w:rsid w:val="00D1125A"/>
    <w:rsid w:val="00D24443"/>
    <w:rsid w:val="00D30DD1"/>
    <w:rsid w:val="00D3576A"/>
    <w:rsid w:val="00D4614B"/>
    <w:rsid w:val="00D60184"/>
    <w:rsid w:val="00D7046D"/>
    <w:rsid w:val="00D73DE2"/>
    <w:rsid w:val="00D85BAB"/>
    <w:rsid w:val="00D95BE4"/>
    <w:rsid w:val="00DA04F2"/>
    <w:rsid w:val="00DE6401"/>
    <w:rsid w:val="00DE69D4"/>
    <w:rsid w:val="00DF0302"/>
    <w:rsid w:val="00E050D3"/>
    <w:rsid w:val="00E14C97"/>
    <w:rsid w:val="00E31111"/>
    <w:rsid w:val="00E334E4"/>
    <w:rsid w:val="00E53480"/>
    <w:rsid w:val="00E71FDD"/>
    <w:rsid w:val="00E741D8"/>
    <w:rsid w:val="00EA1E49"/>
    <w:rsid w:val="00EB465D"/>
    <w:rsid w:val="00EE2B54"/>
    <w:rsid w:val="00EE6EA3"/>
    <w:rsid w:val="00F10D52"/>
    <w:rsid w:val="00F31CAC"/>
    <w:rsid w:val="00F47C5F"/>
    <w:rsid w:val="00F73E5B"/>
    <w:rsid w:val="00FA2716"/>
    <w:rsid w:val="05D622C8"/>
    <w:rsid w:val="12D85778"/>
    <w:rsid w:val="175D17D7"/>
    <w:rsid w:val="1FDF5BD5"/>
    <w:rsid w:val="23B85662"/>
    <w:rsid w:val="23F26279"/>
    <w:rsid w:val="2C61165D"/>
    <w:rsid w:val="37A07D53"/>
    <w:rsid w:val="39F94C2D"/>
    <w:rsid w:val="54FF3501"/>
    <w:rsid w:val="585A7A00"/>
    <w:rsid w:val="5CFD2778"/>
    <w:rsid w:val="60701E06"/>
    <w:rsid w:val="638B4DDF"/>
    <w:rsid w:val="6A0C1076"/>
    <w:rsid w:val="6AF23A29"/>
    <w:rsid w:val="6D835D54"/>
    <w:rsid w:val="6FE4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SimSun"/>
      <w:sz w:val="22"/>
      <w:szCs w:val="22"/>
      <w:lang w:val="es-PE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header"/>
    <w:basedOn w:val="1"/>
    <w:link w:val="12"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10">
    <w:name w:val="footer"/>
    <w:basedOn w:val="1"/>
    <w:link w:val="13"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table" w:styleId="11">
    <w:name w:val="Table Grid"/>
    <w:basedOn w:val="5"/>
    <w:qFormat/>
    <w:uiPriority w:val="39"/>
    <w:rPr>
      <w:rFonts w:ascii="Calibri" w:hAnsi="Calibri" w:eastAsia="Calibri" w:cs="SimSun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Encabezado Car"/>
    <w:basedOn w:val="4"/>
    <w:link w:val="8"/>
    <w:qFormat/>
    <w:uiPriority w:val="99"/>
    <w:rPr>
      <w:lang w:val="es-PE"/>
    </w:rPr>
  </w:style>
  <w:style w:type="character" w:customStyle="1" w:styleId="13">
    <w:name w:val="Pie de página Car"/>
    <w:basedOn w:val="4"/>
    <w:link w:val="10"/>
    <w:qFormat/>
    <w:uiPriority w:val="99"/>
    <w:rPr>
      <w:lang w:val="es-PE"/>
    </w:rPr>
  </w:style>
  <w:style w:type="paragraph" w:styleId="14">
    <w:name w:val="No Spacing"/>
    <w:qFormat/>
    <w:uiPriority w:val="1"/>
    <w:rPr>
      <w:rFonts w:ascii="Calibri" w:hAnsi="Calibri" w:eastAsia="Calibri" w:cs="SimSun"/>
      <w:sz w:val="22"/>
      <w:szCs w:val="22"/>
      <w:lang w:val="es-PE" w:eastAsia="en-US" w:bidi="ar-SA"/>
    </w:rPr>
  </w:style>
  <w:style w:type="character" w:customStyle="1" w:styleId="15">
    <w:name w:val="Título 2 Car"/>
    <w:basedOn w:val="4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  <w:lang w:val="es-PE"/>
    </w:rPr>
  </w:style>
  <w:style w:type="paragraph" w:customStyle="1" w:styleId="16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cs="Calibri"/>
      <w:lang w:val="es-ES" w:eastAsia="es-ES" w:bidi="es-ES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  <w:style w:type="character" w:customStyle="1" w:styleId="18">
    <w:name w:val="Mención sin resolver1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Título 1 Car"/>
    <w:basedOn w:val="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  <w:lang w:val="es-PE"/>
    </w:rPr>
  </w:style>
  <w:style w:type="character" w:customStyle="1" w:styleId="20">
    <w:name w:val="Mención sin resolver2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Mención sin resolver3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59A191-61D7-4C6F-A59F-02B02FF3DD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2510</Words>
  <Characters>16282</Characters>
  <Lines>139</Lines>
  <Paragraphs>39</Paragraphs>
  <TotalTime>1</TotalTime>
  <ScaleCrop>false</ScaleCrop>
  <LinksUpToDate>false</LinksUpToDate>
  <CharactersWithSpaces>18677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2026-03-26T19:52:00Z</dcterms:created>
  <dc:creator>Martin Blanco</dc:creator>
  <cp:lastModifiedBy>usuario</cp:lastModifiedBy>
  <cp:lastPrinted>2026-03-26T19:34:00Z</cp:lastPrinted>
  <dcterms:modified xsi:type="dcterms:W3CDTF">2026-08-10T17:13:40Z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551b98168d3136956a6777d77fe0f0e94fceec5f16f636835caea91944d68184</vt:lpwstr>
  </property>
  <property fmtid="{D5CDD505-2E9C-101B-9397-08002B2CF9AE}" pid="3" name="KSOProductBuildVer">
    <vt:lpwstr>3082-12.1.0.28032</vt:lpwstr>
  </property>
  <property fmtid="{D5CDD505-2E9C-101B-9397-08002B2CF9AE}" pid="4" name="ICV">
    <vt:lpwstr>5D27DEAB59EB4CE485099AAE1E3E7BEC_12</vt:lpwstr>
  </property>
  <property fmtid="{D5CDD505-2E9C-101B-9397-08002B2CF9AE}" pid="5" name="KSOTemplateDocerSaveRecord">
    <vt:lpwstr>eyJoZGlkIjoiMGMwZTM1NmY2MGQwMzQ0YTVmZDIyYzZlODYyMzRmZDAiLCJ1c2VySWQiOiIyNDkxNjA1OTQzMzA4In0=</vt:lpwstr>
  </property>
</Properties>
</file>