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2D7" w:rsidRDefault="001302D7">
      <w:pPr>
        <w:pStyle w:val="Textoindependiente"/>
        <w:rPr>
          <w:rFonts w:ascii="Times New Roman"/>
          <w:sz w:val="20"/>
        </w:rPr>
      </w:pPr>
    </w:p>
    <w:p w:rsidR="001302D7" w:rsidRDefault="001302D7">
      <w:pPr>
        <w:pStyle w:val="Textoindependiente"/>
        <w:rPr>
          <w:rFonts w:ascii="Times New Roman"/>
          <w:sz w:val="20"/>
        </w:rPr>
      </w:pPr>
    </w:p>
    <w:p w:rsidR="001302D7" w:rsidRDefault="001302D7">
      <w:pPr>
        <w:spacing w:before="194"/>
        <w:ind w:left="2086" w:right="2082"/>
        <w:jc w:val="center"/>
        <w:rPr>
          <w:rFonts w:ascii="Times New Roman" w:hAnsi="Times New Roman" w:cs="Times New Roman"/>
          <w:b/>
          <w:sz w:val="28"/>
        </w:rPr>
      </w:pPr>
    </w:p>
    <w:p w:rsidR="001302D7" w:rsidRDefault="0046548E">
      <w:pPr>
        <w:spacing w:before="194"/>
        <w:ind w:left="2086" w:right="2082"/>
        <w:jc w:val="center"/>
        <w:rPr>
          <w:rFonts w:ascii="Times New Roman" w:hAnsi="Times New Roman" w:cs="Times New Roman"/>
          <w:b/>
          <w:sz w:val="28"/>
        </w:rPr>
      </w:pPr>
      <w:r>
        <w:rPr>
          <w:rFonts w:ascii="Times New Roman" w:hAnsi="Times New Roman" w:cs="Times New Roman"/>
          <w:noProof/>
          <w:lang w:val="en-US"/>
        </w:rPr>
        <w:drawing>
          <wp:anchor distT="0" distB="0" distL="0" distR="0" simplePos="0" relativeHeight="251659264" behindDoc="0" locked="0" layoutInCell="1" allowOverlap="1">
            <wp:simplePos x="0" y="0"/>
            <wp:positionH relativeFrom="page">
              <wp:posOffset>354965</wp:posOffset>
            </wp:positionH>
            <wp:positionV relativeFrom="paragraph">
              <wp:posOffset>-290830</wp:posOffset>
            </wp:positionV>
            <wp:extent cx="1181735" cy="11766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6" cstate="print"/>
                    <a:stretch>
                      <a:fillRect/>
                    </a:stretch>
                  </pic:blipFill>
                  <pic:spPr>
                    <a:xfrm>
                      <a:off x="0" y="0"/>
                      <a:ext cx="1182027" cy="1176654"/>
                    </a:xfrm>
                    <a:prstGeom prst="rect">
                      <a:avLst/>
                    </a:prstGeom>
                  </pic:spPr>
                </pic:pic>
              </a:graphicData>
            </a:graphic>
          </wp:anchor>
        </w:drawing>
      </w:r>
      <w:r>
        <w:rPr>
          <w:rFonts w:ascii="Times New Roman" w:hAnsi="Times New Roman" w:cs="Times New Roman"/>
          <w:b/>
          <w:sz w:val="28"/>
        </w:rPr>
        <w:t>UNIVERSIDAD NACIONAL JOSÉ FAUSTINO SÁNCHEZ CARRIÓN</w:t>
      </w:r>
    </w:p>
    <w:p w:rsidR="001302D7" w:rsidRDefault="001302D7">
      <w:pPr>
        <w:pStyle w:val="Textoindependiente"/>
        <w:spacing w:before="4"/>
        <w:rPr>
          <w:rFonts w:ascii="Carlito"/>
          <w:b/>
        </w:rPr>
      </w:pPr>
    </w:p>
    <w:p w:rsidR="001302D7" w:rsidRDefault="001302D7">
      <w:pPr>
        <w:pStyle w:val="Textoindependiente"/>
        <w:rPr>
          <w:rFonts w:ascii="Carlito"/>
          <w:b/>
          <w:sz w:val="20"/>
        </w:rPr>
      </w:pPr>
    </w:p>
    <w:p w:rsidR="001302D7" w:rsidRDefault="001302D7">
      <w:pPr>
        <w:pStyle w:val="Textoindependiente"/>
        <w:rPr>
          <w:rFonts w:ascii="Carlito"/>
          <w:b/>
          <w:sz w:val="20"/>
        </w:rPr>
      </w:pPr>
    </w:p>
    <w:p w:rsidR="001302D7" w:rsidRDefault="0046548E">
      <w:pPr>
        <w:pStyle w:val="Ttulo"/>
        <w:spacing w:line="292" w:lineRule="auto"/>
        <w:ind w:right="1104" w:hanging="242"/>
        <w:jc w:val="center"/>
        <w:rPr>
          <w:rFonts w:ascii="Times New Roman" w:hAnsi="Times New Roman" w:cs="Times New Roman"/>
        </w:rPr>
      </w:pPr>
      <w:r>
        <w:rPr>
          <w:rFonts w:ascii="Times New Roman" w:hAnsi="Times New Roman" w:cs="Times New Roman"/>
        </w:rPr>
        <w:t>FACULTAD DE CIENCIAS EMPRESARIALES ESCUELA PROFESIONAL DE NEGOCIOS INTERNACIONALES</w:t>
      </w:r>
    </w:p>
    <w:p w:rsidR="001302D7" w:rsidRDefault="001302D7">
      <w:pPr>
        <w:pStyle w:val="Ttulo"/>
        <w:spacing w:line="292" w:lineRule="auto"/>
        <w:ind w:right="1104" w:hanging="242"/>
        <w:jc w:val="center"/>
        <w:rPr>
          <w:rFonts w:ascii="Times New Roman" w:hAnsi="Times New Roman" w:cs="Times New Roman"/>
        </w:rPr>
      </w:pPr>
    </w:p>
    <w:p w:rsidR="001302D7" w:rsidRDefault="001302D7">
      <w:pPr>
        <w:pStyle w:val="Textoindependiente"/>
        <w:rPr>
          <w:rFonts w:ascii="Carlito"/>
          <w:b/>
          <w:sz w:val="36"/>
        </w:rPr>
      </w:pPr>
    </w:p>
    <w:p w:rsidR="001302D7" w:rsidRDefault="0046548E">
      <w:pPr>
        <w:widowControl/>
        <w:autoSpaceDE/>
        <w:autoSpaceDN/>
        <w:rPr>
          <w:rFonts w:ascii="Carlito"/>
          <w:b/>
          <w:sz w:val="28"/>
          <w:szCs w:val="24"/>
        </w:rPr>
      </w:pPr>
      <w:r>
        <w:rPr>
          <w:rFonts w:ascii="Times New Roman" w:hAnsi="Times New Roman" w:cs="Times New Roman"/>
          <w:noProof/>
          <w:lang w:val="en-US"/>
        </w:rPr>
        <mc:AlternateContent>
          <mc:Choice Requires="wps">
            <w:drawing>
              <wp:anchor distT="0" distB="0" distL="0" distR="0" simplePos="0" relativeHeight="251660288" behindDoc="1" locked="0" layoutInCell="1" allowOverlap="1">
                <wp:simplePos x="0" y="0"/>
                <wp:positionH relativeFrom="page">
                  <wp:posOffset>866775</wp:posOffset>
                </wp:positionH>
                <wp:positionV relativeFrom="paragraph">
                  <wp:posOffset>407035</wp:posOffset>
                </wp:positionV>
                <wp:extent cx="6076315" cy="4648200"/>
                <wp:effectExtent l="0" t="0" r="19685" b="19050"/>
                <wp:wrapTopAndBottom/>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315" cy="4648200"/>
                        </a:xfrm>
                        <a:prstGeom prst="rect">
                          <a:avLst/>
                        </a:prstGeom>
                        <a:noFill/>
                        <a:ln w="25400">
                          <a:solidFill>
                            <a:srgbClr val="000000"/>
                          </a:solidFill>
                          <a:prstDash val="solid"/>
                          <a:miter lim="800000"/>
                        </a:ln>
                      </wps:spPr>
                      <wps:txbx>
                        <w:txbxContent>
                          <w:p w:rsidR="001302D7" w:rsidRDefault="001302D7">
                            <w:pPr>
                              <w:tabs>
                                <w:tab w:val="left" w:pos="2786"/>
                              </w:tabs>
                              <w:spacing w:before="39" w:line="338" w:lineRule="auto"/>
                              <w:ind w:left="1086" w:right="1084" w:hanging="138"/>
                              <w:jc w:val="center"/>
                              <w:rPr>
                                <w:rFonts w:ascii="Carlito"/>
                                <w:b/>
                                <w:sz w:val="36"/>
                                <w:szCs w:val="36"/>
                              </w:rPr>
                            </w:pPr>
                          </w:p>
                          <w:p w:rsidR="001302D7" w:rsidRDefault="0046548E">
                            <w:pPr>
                              <w:tabs>
                                <w:tab w:val="left" w:pos="2786"/>
                              </w:tabs>
                              <w:spacing w:before="39" w:line="338" w:lineRule="auto"/>
                              <w:ind w:left="1086" w:right="1084" w:hanging="138"/>
                              <w:jc w:val="center"/>
                              <w:rPr>
                                <w:rFonts w:ascii="Carlito"/>
                                <w:b/>
                                <w:sz w:val="36"/>
                                <w:szCs w:val="36"/>
                              </w:rPr>
                            </w:pPr>
                            <w:r>
                              <w:rPr>
                                <w:rFonts w:ascii="Carlito"/>
                                <w:b/>
                                <w:sz w:val="36"/>
                                <w:szCs w:val="36"/>
                              </w:rPr>
                              <w:t>S</w:t>
                            </w:r>
                            <w:r>
                              <w:rPr>
                                <w:rFonts w:ascii="Carlito"/>
                                <w:b/>
                                <w:sz w:val="36"/>
                                <w:szCs w:val="36"/>
                              </w:rPr>
                              <w:t>Í</w:t>
                            </w:r>
                            <w:r>
                              <w:rPr>
                                <w:rFonts w:ascii="Carlito"/>
                                <w:b/>
                                <w:sz w:val="36"/>
                                <w:szCs w:val="36"/>
                              </w:rPr>
                              <w:t>LABO POR COMPETENCIAS</w:t>
                            </w:r>
                          </w:p>
                          <w:p w:rsidR="001302D7" w:rsidRDefault="0046548E">
                            <w:pPr>
                              <w:tabs>
                                <w:tab w:val="left" w:pos="2786"/>
                              </w:tabs>
                              <w:spacing w:before="39" w:line="338" w:lineRule="auto"/>
                              <w:ind w:left="1086" w:right="1084" w:hanging="138"/>
                              <w:jc w:val="center"/>
                              <w:rPr>
                                <w:rFonts w:ascii="Carlito"/>
                                <w:b/>
                                <w:sz w:val="40"/>
                                <w:szCs w:val="40"/>
                              </w:rPr>
                            </w:pPr>
                            <w:r>
                              <w:rPr>
                                <w:rFonts w:ascii="Carlito"/>
                                <w:b/>
                                <w:sz w:val="40"/>
                                <w:szCs w:val="40"/>
                              </w:rPr>
                              <w:t xml:space="preserve"> </w:t>
                            </w:r>
                          </w:p>
                          <w:p w:rsidR="001302D7" w:rsidRDefault="0046548E">
                            <w:pPr>
                              <w:tabs>
                                <w:tab w:val="left" w:pos="2786"/>
                              </w:tabs>
                              <w:spacing w:before="39" w:line="338" w:lineRule="auto"/>
                              <w:ind w:left="1086" w:right="1084" w:hanging="138"/>
                              <w:jc w:val="center"/>
                              <w:rPr>
                                <w:b/>
                                <w:sz w:val="40"/>
                              </w:rPr>
                            </w:pPr>
                            <w:r>
                              <w:rPr>
                                <w:b/>
                                <w:sz w:val="40"/>
                              </w:rPr>
                              <w:t xml:space="preserve">CURSO: </w:t>
                            </w:r>
                            <w:bookmarkStart w:id="0" w:name="OLE_LINK5"/>
                            <w:r>
                              <w:rPr>
                                <w:b/>
                                <w:sz w:val="40"/>
                              </w:rPr>
                              <w:t>CONVENIOS</w:t>
                            </w:r>
                            <w:r>
                              <w:rPr>
                                <w:b/>
                                <w:spacing w:val="-23"/>
                                <w:sz w:val="40"/>
                              </w:rPr>
                              <w:t xml:space="preserve"> </w:t>
                            </w:r>
                            <w:r>
                              <w:rPr>
                                <w:b/>
                                <w:sz w:val="40"/>
                              </w:rPr>
                              <w:t>BILATERALES</w:t>
                            </w:r>
                            <w:bookmarkEnd w:id="0"/>
                          </w:p>
                          <w:p w:rsidR="001302D7" w:rsidRDefault="001302D7">
                            <w:pPr>
                              <w:tabs>
                                <w:tab w:val="left" w:pos="2786"/>
                              </w:tabs>
                              <w:spacing w:before="39" w:line="338" w:lineRule="auto"/>
                              <w:ind w:left="1086" w:right="1084" w:hanging="138"/>
                              <w:jc w:val="center"/>
                              <w:rPr>
                                <w:b/>
                                <w:sz w:val="40"/>
                              </w:rPr>
                            </w:pPr>
                          </w:p>
                          <w:p w:rsidR="001302D7" w:rsidRDefault="0046548E">
                            <w:pPr>
                              <w:tabs>
                                <w:tab w:val="left" w:pos="2786"/>
                              </w:tabs>
                              <w:spacing w:before="39" w:line="338" w:lineRule="auto"/>
                              <w:ind w:left="1086" w:right="1084" w:hanging="138"/>
                              <w:jc w:val="center"/>
                              <w:rPr>
                                <w:b/>
                                <w:sz w:val="40"/>
                              </w:rPr>
                            </w:pPr>
                            <w:r>
                              <w:rPr>
                                <w:b/>
                                <w:sz w:val="40"/>
                              </w:rPr>
                              <w:t xml:space="preserve">DOCENTE: ESPINOZA MORE CARLA MILAGROS </w:t>
                            </w:r>
                          </w:p>
                          <w:p w:rsidR="001302D7" w:rsidRDefault="001302D7">
                            <w:pPr>
                              <w:tabs>
                                <w:tab w:val="left" w:pos="2786"/>
                              </w:tabs>
                              <w:spacing w:before="39" w:line="338" w:lineRule="auto"/>
                              <w:ind w:left="1086" w:right="1084" w:hanging="138"/>
                              <w:jc w:val="center"/>
                              <w:rPr>
                                <w:b/>
                                <w:sz w:val="40"/>
                              </w:rPr>
                            </w:pPr>
                          </w:p>
                          <w:p w:rsidR="001302D7" w:rsidRDefault="0046548E">
                            <w:pPr>
                              <w:tabs>
                                <w:tab w:val="left" w:pos="2786"/>
                              </w:tabs>
                              <w:spacing w:before="39" w:line="338" w:lineRule="auto"/>
                              <w:ind w:left="1086" w:right="1084" w:hanging="138"/>
                              <w:jc w:val="center"/>
                              <w:rPr>
                                <w:b/>
                                <w:sz w:val="40"/>
                              </w:rPr>
                            </w:pPr>
                            <w:r>
                              <w:rPr>
                                <w:b/>
                                <w:sz w:val="40"/>
                              </w:rPr>
                              <w:t xml:space="preserve">SEMESTRE ACADEMICO </w:t>
                            </w:r>
                          </w:p>
                          <w:p w:rsidR="001302D7" w:rsidRDefault="0046548E">
                            <w:pPr>
                              <w:tabs>
                                <w:tab w:val="left" w:pos="2786"/>
                              </w:tabs>
                              <w:spacing w:before="39" w:line="338" w:lineRule="auto"/>
                              <w:ind w:left="1086" w:right="1084" w:hanging="138"/>
                              <w:jc w:val="center"/>
                              <w:rPr>
                                <w:b/>
                                <w:sz w:val="40"/>
                                <w:lang w:val="es-PE"/>
                              </w:rPr>
                            </w:pPr>
                            <w:r>
                              <w:rPr>
                                <w:b/>
                                <w:sz w:val="40"/>
                              </w:rPr>
                              <w:t>2026-I</w:t>
                            </w:r>
                            <w:r>
                              <w:rPr>
                                <w:b/>
                                <w:sz w:val="40"/>
                                <w:lang w:val="es-PE"/>
                              </w:rPr>
                              <w:t>I</w:t>
                            </w:r>
                          </w:p>
                        </w:txbxContent>
                      </wps:txbx>
                      <wps:bodyPr rot="0" vert="horz" wrap="square" lIns="0" tIns="0" rIns="0" bIns="0" anchor="t" anchorCtr="0" upright="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8" o:spid="_x0000_s1026" o:spt="202" type="#_x0000_t202" style="position:absolute;left:0pt;margin-left:68.25pt;margin-top:32.05pt;height:366pt;width:478.45pt;mso-position-horizontal-relative:page;mso-wrap-distance-bottom:0pt;mso-wrap-distance-top:0pt;z-index:-251656192;mso-width-relative:page;mso-height-relative:page;" filled="f" stroked="t" coordsize="21600,21600" o:gfxdata="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kbtYtoAAAALAQAADwAAAAAAAAABACAAAAAiAAAAZHJzL2Rvd25yZXYueG1s&#10;UEsBAhQAFAAAAAgAh07iQCTBW5UvAgAAaAQAAA4AAAAAAAAAAQAgAAAAKQEAAGRycy9lMm9Eb2Mu&#10;eG1sUEsFBgAAAAAGAAYAWQEAAMoFAAAAAA==&#10;">
                <v:fill on="f" focussize="0,0"/>
                <v:stroke weight="2pt" color="#000000" miterlimit="8" joinstyle="miter"/>
                <v:imagedata o:title=""/>
                <o:lock v:ext="edit" aspectratio="f"/>
                <v:textbox inset="0mm,0mm,0mm,0mm">
                  <w:txbxContent>
                    <w:p w14:paraId="7F0F647C">
                      <w:pPr>
                        <w:tabs>
                          <w:tab w:val="left" w:pos="2786"/>
                        </w:tabs>
                        <w:spacing w:before="39" w:line="338" w:lineRule="auto"/>
                        <w:ind w:left="1086" w:right="1084" w:hanging="138"/>
                        <w:jc w:val="center"/>
                        <w:rPr>
                          <w:rFonts w:ascii="Carlito"/>
                          <w:b/>
                          <w:sz w:val="36"/>
                          <w:szCs w:val="36"/>
                        </w:rPr>
                      </w:pPr>
                    </w:p>
                    <w:p w14:paraId="4608AC3C">
                      <w:pPr>
                        <w:tabs>
                          <w:tab w:val="left" w:pos="2786"/>
                        </w:tabs>
                        <w:spacing w:before="39" w:line="338" w:lineRule="auto"/>
                        <w:ind w:left="1086" w:right="1084" w:hanging="138"/>
                        <w:jc w:val="center"/>
                        <w:rPr>
                          <w:rFonts w:ascii="Carlito"/>
                          <w:b/>
                          <w:sz w:val="36"/>
                          <w:szCs w:val="36"/>
                        </w:rPr>
                      </w:pPr>
                      <w:r>
                        <w:rPr>
                          <w:rFonts w:ascii="Carlito"/>
                          <w:b/>
                          <w:sz w:val="36"/>
                          <w:szCs w:val="36"/>
                        </w:rPr>
                        <w:t>SÍLABO POR COMPETENCIAS</w:t>
                      </w:r>
                    </w:p>
                    <w:p w14:paraId="55C45057">
                      <w:pPr>
                        <w:tabs>
                          <w:tab w:val="left" w:pos="2786"/>
                        </w:tabs>
                        <w:spacing w:before="39" w:line="338" w:lineRule="auto"/>
                        <w:ind w:left="1086" w:right="1084" w:hanging="138"/>
                        <w:jc w:val="center"/>
                        <w:rPr>
                          <w:rFonts w:ascii="Carlito"/>
                          <w:b/>
                          <w:sz w:val="40"/>
                          <w:szCs w:val="40"/>
                        </w:rPr>
                      </w:pPr>
                      <w:r>
                        <w:rPr>
                          <w:rFonts w:ascii="Carlito"/>
                          <w:b/>
                          <w:sz w:val="40"/>
                          <w:szCs w:val="40"/>
                        </w:rPr>
                        <w:t xml:space="preserve"> </w:t>
                      </w:r>
                    </w:p>
                    <w:p w14:paraId="674AEB93">
                      <w:pPr>
                        <w:tabs>
                          <w:tab w:val="left" w:pos="2786"/>
                        </w:tabs>
                        <w:spacing w:before="39" w:line="338" w:lineRule="auto"/>
                        <w:ind w:left="1086" w:right="1084" w:hanging="138"/>
                        <w:jc w:val="center"/>
                        <w:rPr>
                          <w:b/>
                          <w:sz w:val="40"/>
                        </w:rPr>
                      </w:pPr>
                      <w:r>
                        <w:rPr>
                          <w:b/>
                          <w:sz w:val="40"/>
                        </w:rPr>
                        <w:t xml:space="preserve">CURSO: </w:t>
                      </w:r>
                      <w:bookmarkStart w:id="1" w:name="OLE_LINK5"/>
                      <w:r>
                        <w:rPr>
                          <w:b/>
                          <w:sz w:val="40"/>
                        </w:rPr>
                        <w:t>CONVENIOS</w:t>
                      </w:r>
                      <w:r>
                        <w:rPr>
                          <w:b/>
                          <w:spacing w:val="-23"/>
                          <w:sz w:val="40"/>
                        </w:rPr>
                        <w:t xml:space="preserve"> </w:t>
                      </w:r>
                      <w:r>
                        <w:rPr>
                          <w:b/>
                          <w:sz w:val="40"/>
                        </w:rPr>
                        <w:t>BILATERALES</w:t>
                      </w:r>
                      <w:bookmarkEnd w:id="1"/>
                    </w:p>
                    <w:p w14:paraId="60ECB501">
                      <w:pPr>
                        <w:tabs>
                          <w:tab w:val="left" w:pos="2786"/>
                        </w:tabs>
                        <w:spacing w:before="39" w:line="338" w:lineRule="auto"/>
                        <w:ind w:left="1086" w:right="1084" w:hanging="138"/>
                        <w:jc w:val="center"/>
                        <w:rPr>
                          <w:b/>
                          <w:sz w:val="40"/>
                        </w:rPr>
                      </w:pPr>
                    </w:p>
                    <w:p w14:paraId="444CDDD2">
                      <w:pPr>
                        <w:tabs>
                          <w:tab w:val="left" w:pos="2786"/>
                        </w:tabs>
                        <w:spacing w:before="39" w:line="338" w:lineRule="auto"/>
                        <w:ind w:left="1086" w:right="1084" w:hanging="138"/>
                        <w:jc w:val="center"/>
                        <w:rPr>
                          <w:b/>
                          <w:sz w:val="40"/>
                        </w:rPr>
                      </w:pPr>
                      <w:r>
                        <w:rPr>
                          <w:b/>
                          <w:sz w:val="40"/>
                        </w:rPr>
                        <w:t xml:space="preserve">DOCENTE: ESPINOZA MORE CARLA MILAGROS </w:t>
                      </w:r>
                    </w:p>
                    <w:p w14:paraId="66E9DB52">
                      <w:pPr>
                        <w:tabs>
                          <w:tab w:val="left" w:pos="2786"/>
                        </w:tabs>
                        <w:spacing w:before="39" w:line="338" w:lineRule="auto"/>
                        <w:ind w:left="1086" w:right="1084" w:hanging="138"/>
                        <w:jc w:val="center"/>
                        <w:rPr>
                          <w:b/>
                          <w:sz w:val="40"/>
                        </w:rPr>
                      </w:pPr>
                    </w:p>
                    <w:p w14:paraId="75F4109D">
                      <w:pPr>
                        <w:tabs>
                          <w:tab w:val="left" w:pos="2786"/>
                        </w:tabs>
                        <w:spacing w:before="39" w:line="338" w:lineRule="auto"/>
                        <w:ind w:left="1086" w:right="1084" w:hanging="138"/>
                        <w:jc w:val="center"/>
                        <w:rPr>
                          <w:b/>
                          <w:sz w:val="40"/>
                        </w:rPr>
                      </w:pPr>
                      <w:r>
                        <w:rPr>
                          <w:b/>
                          <w:sz w:val="40"/>
                        </w:rPr>
                        <w:t xml:space="preserve">SEMESTRE ACADEMICO </w:t>
                      </w:r>
                    </w:p>
                    <w:p w14:paraId="1D434E9A">
                      <w:pPr>
                        <w:tabs>
                          <w:tab w:val="left" w:pos="2786"/>
                        </w:tabs>
                        <w:spacing w:before="39" w:line="338" w:lineRule="auto"/>
                        <w:ind w:left="1086" w:right="1084" w:hanging="138"/>
                        <w:jc w:val="center"/>
                        <w:rPr>
                          <w:rFonts w:hint="default"/>
                          <w:b/>
                          <w:sz w:val="40"/>
                          <w:lang w:val="es-PE"/>
                        </w:rPr>
                      </w:pPr>
                      <w:r>
                        <w:rPr>
                          <w:b/>
                          <w:sz w:val="40"/>
                        </w:rPr>
                        <w:t>2026-I</w:t>
                      </w:r>
                      <w:r>
                        <w:rPr>
                          <w:rFonts w:hint="default"/>
                          <w:b/>
                          <w:sz w:val="40"/>
                          <w:lang w:val="es-PE"/>
                        </w:rPr>
                        <w:t>I</w:t>
                      </w:r>
                    </w:p>
                  </w:txbxContent>
                </v:textbox>
                <w10:wrap type="topAndBottom"/>
              </v:shape>
            </w:pict>
          </mc:Fallback>
        </mc:AlternateContent>
      </w:r>
      <w:r>
        <w:rPr>
          <w:rFonts w:ascii="Carlito"/>
          <w:b/>
          <w:sz w:val="28"/>
        </w:rPr>
        <w:br w:type="page"/>
      </w:r>
    </w:p>
    <w:p w:rsidR="001302D7" w:rsidRDefault="001302D7">
      <w:pPr>
        <w:pStyle w:val="Textoindependiente"/>
        <w:spacing w:before="8"/>
        <w:rPr>
          <w:rFonts w:ascii="Carlito"/>
          <w:b/>
          <w:sz w:val="28"/>
        </w:rPr>
      </w:pPr>
    </w:p>
    <w:p w:rsidR="001302D7" w:rsidRDefault="001302D7">
      <w:pPr>
        <w:pStyle w:val="Ttulo1"/>
        <w:tabs>
          <w:tab w:val="left" w:pos="1658"/>
          <w:tab w:val="left" w:pos="1659"/>
        </w:tabs>
        <w:ind w:left="1658" w:firstLine="0"/>
        <w:rPr>
          <w:rFonts w:ascii="Caladea"/>
        </w:rPr>
      </w:pPr>
    </w:p>
    <w:tbl>
      <w:tblPr>
        <w:tblStyle w:val="Tablaconcuadrcula"/>
        <w:tblW w:w="0" w:type="auto"/>
        <w:jc w:val="center"/>
        <w:tblLook w:val="04A0" w:firstRow="1" w:lastRow="0" w:firstColumn="1" w:lastColumn="0" w:noHBand="0" w:noVBand="1"/>
      </w:tblPr>
      <w:tblGrid>
        <w:gridCol w:w="8827"/>
      </w:tblGrid>
      <w:tr w:rsidR="001302D7">
        <w:trPr>
          <w:jc w:val="center"/>
        </w:trPr>
        <w:tc>
          <w:tcPr>
            <w:tcW w:w="8827" w:type="dxa"/>
          </w:tcPr>
          <w:p w:rsidR="001302D7" w:rsidRDefault="0046548E">
            <w:pPr>
              <w:pStyle w:val="Ttulo1"/>
              <w:tabs>
                <w:tab w:val="left" w:pos="1658"/>
                <w:tab w:val="left" w:pos="1659"/>
              </w:tabs>
              <w:ind w:left="0" w:firstLine="0"/>
              <w:jc w:val="center"/>
              <w:outlineLvl w:val="0"/>
              <w:rPr>
                <w:rFonts w:ascii="Caladea"/>
              </w:rPr>
            </w:pPr>
            <w:r>
              <w:rPr>
                <w:rFonts w:ascii="Caladea"/>
              </w:rPr>
              <w:t>SILABO DE CONVENIOS BILATERALES</w:t>
            </w:r>
          </w:p>
        </w:tc>
      </w:tr>
    </w:tbl>
    <w:p w:rsidR="001302D7" w:rsidRDefault="001302D7">
      <w:pPr>
        <w:pStyle w:val="Ttulo1"/>
        <w:tabs>
          <w:tab w:val="left" w:pos="1658"/>
          <w:tab w:val="left" w:pos="1659"/>
        </w:tabs>
        <w:ind w:left="1658" w:firstLine="0"/>
        <w:rPr>
          <w:rFonts w:ascii="Caladea"/>
        </w:rPr>
      </w:pPr>
    </w:p>
    <w:p w:rsidR="001302D7" w:rsidRDefault="0046548E">
      <w:pPr>
        <w:pStyle w:val="Ttulo1"/>
        <w:numPr>
          <w:ilvl w:val="0"/>
          <w:numId w:val="1"/>
        </w:numPr>
        <w:tabs>
          <w:tab w:val="left" w:pos="1658"/>
          <w:tab w:val="left" w:pos="1659"/>
        </w:tabs>
        <w:ind w:hanging="400"/>
        <w:jc w:val="left"/>
        <w:rPr>
          <w:rFonts w:ascii="Caladea"/>
        </w:rPr>
      </w:pPr>
      <w:r>
        <w:rPr>
          <w:rFonts w:ascii="Caladea"/>
        </w:rPr>
        <w:t>DATOS GENERALES</w:t>
      </w:r>
    </w:p>
    <w:p w:rsidR="001302D7" w:rsidRDefault="001302D7">
      <w:pPr>
        <w:pStyle w:val="Textoindependiente"/>
        <w:spacing w:before="9"/>
        <w:rPr>
          <w:rFonts w:ascii="Caladea"/>
          <w:b/>
          <w:sz w:val="23"/>
        </w:rPr>
      </w:pPr>
    </w:p>
    <w:tbl>
      <w:tblPr>
        <w:tblStyle w:val="TableNormal"/>
        <w:tblW w:w="0" w:type="auto"/>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1"/>
        <w:gridCol w:w="6103"/>
      </w:tblGrid>
      <w:tr w:rsidR="001302D7">
        <w:trPr>
          <w:trHeight w:val="508"/>
        </w:trPr>
        <w:tc>
          <w:tcPr>
            <w:tcW w:w="3111" w:type="dxa"/>
          </w:tcPr>
          <w:p w:rsidR="001302D7" w:rsidRDefault="0046548E">
            <w:pPr>
              <w:pStyle w:val="TableParagraph"/>
              <w:spacing w:before="124"/>
              <w:ind w:left="105"/>
              <w:rPr>
                <w:rFonts w:ascii="Arial" w:hAnsi="Arial"/>
                <w:b/>
              </w:rPr>
            </w:pPr>
            <w:r>
              <w:rPr>
                <w:rFonts w:ascii="Arial" w:hAnsi="Arial"/>
                <w:b/>
              </w:rPr>
              <w:t>LÍNEA DE CARRERA</w:t>
            </w:r>
          </w:p>
        </w:tc>
        <w:tc>
          <w:tcPr>
            <w:tcW w:w="6103" w:type="dxa"/>
          </w:tcPr>
          <w:p w:rsidR="001302D7" w:rsidRDefault="0046548E">
            <w:pPr>
              <w:pStyle w:val="TableParagraph"/>
              <w:spacing w:before="3" w:line="254" w:lineRule="exact"/>
              <w:ind w:left="110" w:right="1256"/>
              <w:rPr>
                <w:rFonts w:ascii="Arial"/>
              </w:rPr>
            </w:pPr>
            <w:r>
              <w:rPr>
                <w:rFonts w:ascii="Arial"/>
              </w:rPr>
              <w:t>LC3 Gesti</w:t>
            </w:r>
            <w:r>
              <w:rPr>
                <w:rFonts w:ascii="Arial"/>
              </w:rPr>
              <w:t>ó</w:t>
            </w:r>
            <w:r>
              <w:rPr>
                <w:rFonts w:ascii="Arial"/>
              </w:rPr>
              <w:t>n de Mercados Internacionales</w:t>
            </w:r>
          </w:p>
        </w:tc>
      </w:tr>
      <w:tr w:rsidR="001302D7">
        <w:trPr>
          <w:trHeight w:val="508"/>
        </w:trPr>
        <w:tc>
          <w:tcPr>
            <w:tcW w:w="3111" w:type="dxa"/>
          </w:tcPr>
          <w:p w:rsidR="001302D7" w:rsidRDefault="0046548E">
            <w:pPr>
              <w:pStyle w:val="TableParagraph"/>
              <w:spacing w:before="124"/>
              <w:ind w:left="105"/>
              <w:rPr>
                <w:rFonts w:ascii="Arial" w:hAnsi="Arial"/>
                <w:b/>
              </w:rPr>
            </w:pPr>
            <w:r>
              <w:rPr>
                <w:rFonts w:ascii="Arial" w:hAnsi="Arial"/>
                <w:b/>
              </w:rPr>
              <w:t>CURSO</w:t>
            </w:r>
          </w:p>
        </w:tc>
        <w:tc>
          <w:tcPr>
            <w:tcW w:w="6103" w:type="dxa"/>
          </w:tcPr>
          <w:p w:rsidR="001302D7" w:rsidRDefault="0046548E">
            <w:pPr>
              <w:pStyle w:val="TableParagraph"/>
              <w:spacing w:before="3" w:line="254" w:lineRule="exact"/>
              <w:ind w:left="110" w:right="1256"/>
              <w:rPr>
                <w:rFonts w:ascii="Arial"/>
              </w:rPr>
            </w:pPr>
            <w:r>
              <w:rPr>
                <w:rFonts w:ascii="Arial"/>
              </w:rPr>
              <w:t>CONVENIOS BILATERALES</w:t>
            </w:r>
          </w:p>
        </w:tc>
      </w:tr>
      <w:tr w:rsidR="001302D7">
        <w:trPr>
          <w:trHeight w:val="508"/>
        </w:trPr>
        <w:tc>
          <w:tcPr>
            <w:tcW w:w="3111" w:type="dxa"/>
          </w:tcPr>
          <w:p w:rsidR="001302D7" w:rsidRDefault="0046548E">
            <w:pPr>
              <w:pStyle w:val="TableParagraph"/>
              <w:spacing w:before="124"/>
              <w:ind w:left="105"/>
              <w:rPr>
                <w:rFonts w:ascii="Arial" w:hAnsi="Arial"/>
                <w:b/>
              </w:rPr>
            </w:pPr>
            <w:r>
              <w:rPr>
                <w:rFonts w:ascii="Arial" w:hAnsi="Arial"/>
                <w:b/>
              </w:rPr>
              <w:t>CÓDIGO</w:t>
            </w:r>
          </w:p>
        </w:tc>
        <w:tc>
          <w:tcPr>
            <w:tcW w:w="6103" w:type="dxa"/>
          </w:tcPr>
          <w:p w:rsidR="001302D7" w:rsidRDefault="0046548E">
            <w:pPr>
              <w:pStyle w:val="TableParagraph"/>
              <w:spacing w:before="124"/>
              <w:ind w:left="110"/>
              <w:rPr>
                <w:rFonts w:ascii="Arial"/>
              </w:rPr>
            </w:pPr>
            <w:r>
              <w:rPr>
                <w:rFonts w:ascii="Arial"/>
              </w:rPr>
              <w:t>45353</w:t>
            </w:r>
          </w:p>
        </w:tc>
      </w:tr>
      <w:tr w:rsidR="001302D7">
        <w:trPr>
          <w:trHeight w:val="508"/>
        </w:trPr>
        <w:tc>
          <w:tcPr>
            <w:tcW w:w="3111" w:type="dxa"/>
          </w:tcPr>
          <w:p w:rsidR="001302D7" w:rsidRDefault="0046548E">
            <w:pPr>
              <w:pStyle w:val="TableParagraph"/>
              <w:spacing w:before="125"/>
              <w:ind w:left="105"/>
              <w:rPr>
                <w:rFonts w:ascii="Arial"/>
                <w:b/>
              </w:rPr>
            </w:pPr>
            <w:r>
              <w:rPr>
                <w:rFonts w:ascii="Arial"/>
                <w:b/>
              </w:rPr>
              <w:t>HORAS</w:t>
            </w:r>
          </w:p>
        </w:tc>
        <w:tc>
          <w:tcPr>
            <w:tcW w:w="6103" w:type="dxa"/>
          </w:tcPr>
          <w:p w:rsidR="001302D7" w:rsidRDefault="0046548E">
            <w:pPr>
              <w:pStyle w:val="TableParagraph"/>
              <w:spacing w:before="125"/>
              <w:ind w:left="110"/>
              <w:rPr>
                <w:rFonts w:ascii="Arial"/>
              </w:rPr>
            </w:pPr>
            <w:r>
              <w:rPr>
                <w:rFonts w:ascii="Arial"/>
              </w:rPr>
              <w:t>HT: 3 HP: 2 TH: 5</w:t>
            </w:r>
          </w:p>
        </w:tc>
      </w:tr>
      <w:tr w:rsidR="001302D7">
        <w:trPr>
          <w:trHeight w:val="508"/>
        </w:trPr>
        <w:tc>
          <w:tcPr>
            <w:tcW w:w="3111" w:type="dxa"/>
          </w:tcPr>
          <w:p w:rsidR="001302D7" w:rsidRDefault="0046548E">
            <w:pPr>
              <w:pStyle w:val="TableParagraph"/>
              <w:spacing w:before="125"/>
              <w:ind w:left="105"/>
              <w:rPr>
                <w:rFonts w:ascii="Arial"/>
                <w:b/>
              </w:rPr>
            </w:pPr>
            <w:r>
              <w:rPr>
                <w:rFonts w:ascii="Arial"/>
                <w:b/>
              </w:rPr>
              <w:t xml:space="preserve">CICLO </w:t>
            </w:r>
          </w:p>
        </w:tc>
        <w:tc>
          <w:tcPr>
            <w:tcW w:w="6103" w:type="dxa"/>
          </w:tcPr>
          <w:p w:rsidR="001302D7" w:rsidRDefault="0046548E">
            <w:pPr>
              <w:pStyle w:val="TableParagraph"/>
              <w:spacing w:before="125"/>
              <w:ind w:left="110"/>
              <w:rPr>
                <w:rFonts w:ascii="Arial"/>
              </w:rPr>
            </w:pPr>
            <w:r>
              <w:rPr>
                <w:rFonts w:ascii="Arial"/>
              </w:rPr>
              <w:t>VI - A</w:t>
            </w:r>
          </w:p>
        </w:tc>
      </w:tr>
    </w:tbl>
    <w:p w:rsidR="001302D7" w:rsidRDefault="001302D7">
      <w:pPr>
        <w:pStyle w:val="Prrafodelista"/>
        <w:tabs>
          <w:tab w:val="left" w:pos="1659"/>
        </w:tabs>
        <w:spacing w:before="76"/>
        <w:ind w:left="1658" w:firstLine="0"/>
        <w:jc w:val="right"/>
        <w:rPr>
          <w:b/>
          <w:sz w:val="24"/>
        </w:rPr>
      </w:pPr>
    </w:p>
    <w:p w:rsidR="001302D7" w:rsidRDefault="001302D7">
      <w:pPr>
        <w:pStyle w:val="Prrafodelista"/>
        <w:tabs>
          <w:tab w:val="left" w:pos="1659"/>
        </w:tabs>
        <w:spacing w:before="76"/>
        <w:ind w:left="1658" w:firstLine="0"/>
        <w:jc w:val="right"/>
        <w:rPr>
          <w:b/>
          <w:sz w:val="24"/>
        </w:rPr>
      </w:pPr>
    </w:p>
    <w:p w:rsidR="001302D7" w:rsidRDefault="0046548E">
      <w:pPr>
        <w:pStyle w:val="Prrafodelista"/>
        <w:numPr>
          <w:ilvl w:val="0"/>
          <w:numId w:val="1"/>
        </w:numPr>
        <w:tabs>
          <w:tab w:val="left" w:pos="1659"/>
        </w:tabs>
        <w:spacing w:before="76"/>
        <w:ind w:hanging="400"/>
        <w:jc w:val="left"/>
        <w:rPr>
          <w:b/>
          <w:sz w:val="24"/>
        </w:rPr>
      </w:pPr>
      <w:r>
        <w:rPr>
          <w:b/>
          <w:sz w:val="24"/>
        </w:rPr>
        <w:t>SUMILLA</w:t>
      </w:r>
    </w:p>
    <w:p w:rsidR="001302D7" w:rsidRDefault="001302D7">
      <w:pPr>
        <w:pStyle w:val="Textoindependiente"/>
        <w:spacing w:before="4"/>
        <w:rPr>
          <w:b/>
        </w:rPr>
      </w:pPr>
    </w:p>
    <w:p w:rsidR="001302D7" w:rsidRDefault="0046548E">
      <w:pPr>
        <w:spacing w:line="276" w:lineRule="auto"/>
        <w:ind w:left="1687" w:right="1254"/>
        <w:jc w:val="both"/>
      </w:pPr>
      <w:r>
        <w:t xml:space="preserve">La asignatura de </w:t>
      </w:r>
      <w:r>
        <w:t>convenios bilaterales es de naturaleza teórico – práctica. Pertenece al grupo de conocimientos formativos. La asignatura tiene como propósito primordial otorgar</w:t>
      </w:r>
      <w:r>
        <w:rPr>
          <w:spacing w:val="-9"/>
        </w:rPr>
        <w:t xml:space="preserve"> </w:t>
      </w:r>
      <w:r>
        <w:t>al</w:t>
      </w:r>
      <w:r>
        <w:rPr>
          <w:spacing w:val="-8"/>
        </w:rPr>
        <w:t xml:space="preserve"> </w:t>
      </w:r>
      <w:r>
        <w:t>estudiante,</w:t>
      </w:r>
      <w:r>
        <w:rPr>
          <w:spacing w:val="-6"/>
        </w:rPr>
        <w:t xml:space="preserve"> </w:t>
      </w:r>
      <w:r>
        <w:t>los</w:t>
      </w:r>
      <w:r>
        <w:rPr>
          <w:spacing w:val="-7"/>
        </w:rPr>
        <w:t xml:space="preserve"> </w:t>
      </w:r>
      <w:r>
        <w:t>conocimientos</w:t>
      </w:r>
      <w:r>
        <w:rPr>
          <w:spacing w:val="-7"/>
        </w:rPr>
        <w:t xml:space="preserve"> </w:t>
      </w:r>
      <w:r>
        <w:t>referentes</w:t>
      </w:r>
      <w:r>
        <w:rPr>
          <w:spacing w:val="-7"/>
        </w:rPr>
        <w:t xml:space="preserve"> </w:t>
      </w:r>
      <w:r>
        <w:t>a</w:t>
      </w:r>
      <w:r>
        <w:rPr>
          <w:spacing w:val="-5"/>
        </w:rPr>
        <w:t xml:space="preserve"> </w:t>
      </w:r>
      <w:r>
        <w:t>los</w:t>
      </w:r>
      <w:r>
        <w:rPr>
          <w:spacing w:val="-7"/>
        </w:rPr>
        <w:t xml:space="preserve"> </w:t>
      </w:r>
      <w:r>
        <w:t>acuerdos</w:t>
      </w:r>
      <w:r>
        <w:rPr>
          <w:spacing w:val="-7"/>
        </w:rPr>
        <w:t xml:space="preserve"> </w:t>
      </w:r>
      <w:r>
        <w:t>bilaterales</w:t>
      </w:r>
      <w:r>
        <w:rPr>
          <w:spacing w:val="-7"/>
        </w:rPr>
        <w:t xml:space="preserve"> </w:t>
      </w:r>
      <w:r>
        <w:t>entre</w:t>
      </w:r>
      <w:r>
        <w:rPr>
          <w:spacing w:val="-5"/>
        </w:rPr>
        <w:t xml:space="preserve"> </w:t>
      </w:r>
      <w:r>
        <w:t>las naciones sober</w:t>
      </w:r>
      <w:r>
        <w:t>anas, o empresas. Los acuerdos comerciales bilaterales funcionan como contratos personales y de negocios, son acuerdos vinculantes y detallan los términos de una transacción comercial entre ambos</w:t>
      </w:r>
      <w:r>
        <w:rPr>
          <w:spacing w:val="-10"/>
        </w:rPr>
        <w:t xml:space="preserve"> </w:t>
      </w:r>
      <w:r>
        <w:t>países.</w:t>
      </w:r>
    </w:p>
    <w:p w:rsidR="001302D7" w:rsidRDefault="001302D7">
      <w:pPr>
        <w:pStyle w:val="Prrafodelista"/>
        <w:tabs>
          <w:tab w:val="left" w:pos="1659"/>
        </w:tabs>
        <w:spacing w:before="76"/>
        <w:ind w:left="1658" w:firstLine="0"/>
        <w:rPr>
          <w:b/>
          <w:sz w:val="24"/>
        </w:rPr>
      </w:pPr>
    </w:p>
    <w:p w:rsidR="001302D7" w:rsidRDefault="0046548E">
      <w:pPr>
        <w:pStyle w:val="Prrafodelista"/>
        <w:tabs>
          <w:tab w:val="left" w:pos="1659"/>
        </w:tabs>
        <w:spacing w:before="76"/>
        <w:ind w:left="1658" w:firstLine="0"/>
        <w:rPr>
          <w:b/>
          <w:sz w:val="24"/>
        </w:rPr>
      </w:pPr>
      <w:r>
        <w:rPr>
          <w:b/>
          <w:sz w:val="24"/>
        </w:rPr>
        <w:t>COMPETENCIA DE LA ASIGNATURA</w:t>
      </w:r>
    </w:p>
    <w:p w:rsidR="001302D7" w:rsidRDefault="0046548E">
      <w:pPr>
        <w:spacing w:before="199"/>
        <w:ind w:left="1687" w:right="1245"/>
        <w:jc w:val="both"/>
      </w:pPr>
      <w:r>
        <w:t>Analiza, comprende las</w:t>
      </w:r>
      <w:r>
        <w:t xml:space="preserve"> normas de referente a los acuerdos bilaterales existentes entre naciones como operaciones financieras, su análisis conceptual y el proceso de aplicación, como fundamento teórico y práctico de las finanzas, para los convenios.</w:t>
      </w:r>
    </w:p>
    <w:p w:rsidR="001302D7" w:rsidRDefault="001302D7">
      <w:pPr>
        <w:spacing w:before="199"/>
        <w:ind w:left="1687"/>
      </w:pPr>
    </w:p>
    <w:p w:rsidR="001302D7" w:rsidRDefault="0046548E">
      <w:pPr>
        <w:ind w:left="1687" w:right="1245"/>
        <w:jc w:val="both"/>
      </w:pPr>
      <w:r>
        <w:rPr>
          <w:b/>
        </w:rPr>
        <w:t xml:space="preserve">Unidad I: </w:t>
      </w:r>
      <w:r>
        <w:t>Los tratados de li</w:t>
      </w:r>
      <w:r>
        <w:t>bre comercio (TLC): concepto y alcances, el impuesto a la renta de los no domiciliados en el Perú. Criterios de vinculación con las rentas de fuente peruana.</w:t>
      </w:r>
    </w:p>
    <w:p w:rsidR="001302D7" w:rsidRDefault="001302D7">
      <w:pPr>
        <w:ind w:left="1687"/>
        <w:rPr>
          <w:sz w:val="20"/>
        </w:rPr>
      </w:pPr>
    </w:p>
    <w:p w:rsidR="001302D7" w:rsidRDefault="0046548E">
      <w:pPr>
        <w:ind w:left="1687" w:right="1245"/>
        <w:jc w:val="both"/>
      </w:pPr>
      <w:r>
        <w:rPr>
          <w:b/>
        </w:rPr>
        <w:t xml:space="preserve">Unidad II: </w:t>
      </w:r>
      <w:r>
        <w:t>Marco legal de los tratados internacionales a los que se refieren los artículos Nºs. 5</w:t>
      </w:r>
      <w:r>
        <w:t xml:space="preserve">5 al 57 de la LIR. Su clasificación como fuentes del derecho tributario. Los conceptos de vinculación con sujetos no domiciliados según la LIR. </w:t>
      </w:r>
    </w:p>
    <w:p w:rsidR="001302D7" w:rsidRDefault="0046548E">
      <w:pPr>
        <w:spacing w:before="126"/>
        <w:ind w:left="1687" w:right="1245"/>
        <w:jc w:val="both"/>
      </w:pPr>
      <w:r>
        <w:rPr>
          <w:b/>
        </w:rPr>
        <w:t xml:space="preserve">Unidad III: </w:t>
      </w:r>
      <w:r>
        <w:t xml:space="preserve">La doble imposición internacional y los alcances de los convenios para evitar la doble imposición. </w:t>
      </w:r>
      <w:r>
        <w:t>Convenio marco “convenio modelo OCDE.</w:t>
      </w:r>
    </w:p>
    <w:p w:rsidR="001302D7" w:rsidRDefault="001302D7">
      <w:pPr>
        <w:spacing w:before="126"/>
        <w:ind w:left="1687"/>
        <w:rPr>
          <w:sz w:val="20"/>
        </w:rPr>
      </w:pPr>
    </w:p>
    <w:p w:rsidR="001302D7" w:rsidRDefault="0046548E">
      <w:pPr>
        <w:ind w:left="1687" w:right="1245"/>
        <w:jc w:val="both"/>
      </w:pPr>
      <w:r>
        <w:rPr>
          <w:b/>
        </w:rPr>
        <w:t xml:space="preserve">Unidad IV: </w:t>
      </w:r>
      <w:r>
        <w:t xml:space="preserve">Modelos de cdi con la república de chile y la decisión Nº 578 de la comunidad andina de naciones. </w:t>
      </w:r>
    </w:p>
    <w:p w:rsidR="001302D7" w:rsidRDefault="001302D7">
      <w:pPr>
        <w:pStyle w:val="Textoindependiente"/>
      </w:pPr>
    </w:p>
    <w:p w:rsidR="001302D7" w:rsidRDefault="0046548E">
      <w:pPr>
        <w:widowControl/>
        <w:autoSpaceDE/>
        <w:autoSpaceDN/>
        <w:rPr>
          <w:sz w:val="24"/>
          <w:szCs w:val="24"/>
        </w:rPr>
      </w:pPr>
      <w:r>
        <w:br w:type="page"/>
      </w:r>
    </w:p>
    <w:p w:rsidR="001302D7" w:rsidRDefault="0046548E">
      <w:pPr>
        <w:pStyle w:val="Ttulo1"/>
        <w:numPr>
          <w:ilvl w:val="0"/>
          <w:numId w:val="1"/>
        </w:numPr>
        <w:tabs>
          <w:tab w:val="left" w:pos="1980"/>
          <w:tab w:val="left" w:pos="1981"/>
        </w:tabs>
        <w:spacing w:before="204"/>
        <w:ind w:left="1980" w:hanging="722"/>
        <w:jc w:val="left"/>
      </w:pPr>
      <w:bookmarkStart w:id="1" w:name="_Hlk225336528"/>
      <w:r>
        <w:lastRenderedPageBreak/>
        <w:t>CAPACIDADES AL FINALIZAR EL</w:t>
      </w:r>
      <w:r>
        <w:rPr>
          <w:spacing w:val="-2"/>
        </w:rPr>
        <w:t xml:space="preserve"> </w:t>
      </w:r>
      <w:r>
        <w:t>CURSO</w:t>
      </w:r>
    </w:p>
    <w:p w:rsidR="001302D7" w:rsidRDefault="001302D7">
      <w:pPr>
        <w:pStyle w:val="Textoindependiente"/>
        <w:rPr>
          <w:b/>
          <w:sz w:val="20"/>
        </w:rPr>
      </w:pPr>
    </w:p>
    <w:tbl>
      <w:tblPr>
        <w:tblStyle w:val="TableNormal"/>
        <w:tblW w:w="0" w:type="auto"/>
        <w:tblInd w:w="1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821"/>
        <w:gridCol w:w="3266"/>
        <w:gridCol w:w="1273"/>
      </w:tblGrid>
      <w:tr w:rsidR="001302D7">
        <w:trPr>
          <w:trHeight w:val="417"/>
        </w:trPr>
        <w:tc>
          <w:tcPr>
            <w:tcW w:w="567" w:type="dxa"/>
            <w:shd w:val="clear" w:color="auto" w:fill="A6A6A6"/>
          </w:tcPr>
          <w:p w:rsidR="001302D7" w:rsidRDefault="001302D7">
            <w:pPr>
              <w:pStyle w:val="TableParagraph"/>
              <w:rPr>
                <w:rFonts w:ascii="Times New Roman"/>
                <w:sz w:val="20"/>
              </w:rPr>
            </w:pPr>
          </w:p>
        </w:tc>
        <w:tc>
          <w:tcPr>
            <w:tcW w:w="4821" w:type="dxa"/>
          </w:tcPr>
          <w:p w:rsidR="001302D7" w:rsidRDefault="0046548E">
            <w:pPr>
              <w:pStyle w:val="TableParagraph"/>
              <w:spacing w:line="206" w:lineRule="exact"/>
              <w:ind w:left="681"/>
              <w:rPr>
                <w:rFonts w:ascii="Arial"/>
                <w:b/>
                <w:sz w:val="18"/>
              </w:rPr>
            </w:pPr>
            <w:r>
              <w:rPr>
                <w:rFonts w:ascii="Arial"/>
                <w:b/>
                <w:sz w:val="18"/>
              </w:rPr>
              <w:t>CAPACIDAD DE LA UNIDAD DIDACTICA</w:t>
            </w:r>
          </w:p>
        </w:tc>
        <w:tc>
          <w:tcPr>
            <w:tcW w:w="3266" w:type="dxa"/>
          </w:tcPr>
          <w:p w:rsidR="001302D7" w:rsidRDefault="0046548E">
            <w:pPr>
              <w:pStyle w:val="TableParagraph"/>
              <w:spacing w:before="3" w:line="206" w:lineRule="exact"/>
              <w:ind w:left="1137" w:right="536" w:hanging="577"/>
              <w:rPr>
                <w:rFonts w:ascii="Arial" w:hAnsi="Arial"/>
                <w:b/>
                <w:sz w:val="18"/>
              </w:rPr>
            </w:pPr>
            <w:r>
              <w:rPr>
                <w:rFonts w:ascii="Arial" w:hAnsi="Arial"/>
                <w:b/>
                <w:sz w:val="18"/>
              </w:rPr>
              <w:t>NOMBRE DE LA UNIDAD DIDÁCTICA</w:t>
            </w:r>
          </w:p>
        </w:tc>
        <w:tc>
          <w:tcPr>
            <w:tcW w:w="1273" w:type="dxa"/>
          </w:tcPr>
          <w:p w:rsidR="001302D7" w:rsidRDefault="0046548E">
            <w:pPr>
              <w:pStyle w:val="TableParagraph"/>
              <w:spacing w:line="206" w:lineRule="exact"/>
              <w:ind w:left="168" w:right="154"/>
              <w:jc w:val="center"/>
              <w:rPr>
                <w:rFonts w:ascii="Arial"/>
                <w:b/>
                <w:sz w:val="18"/>
              </w:rPr>
            </w:pPr>
            <w:r>
              <w:rPr>
                <w:rFonts w:ascii="Arial"/>
                <w:b/>
                <w:sz w:val="18"/>
              </w:rPr>
              <w:t>SEMANAS</w:t>
            </w:r>
          </w:p>
        </w:tc>
      </w:tr>
      <w:tr w:rsidR="001302D7">
        <w:trPr>
          <w:trHeight w:val="1656"/>
        </w:trPr>
        <w:tc>
          <w:tcPr>
            <w:tcW w:w="567" w:type="dxa"/>
            <w:shd w:val="clear" w:color="auto" w:fill="A6A6A6"/>
            <w:textDirection w:val="btLr"/>
          </w:tcPr>
          <w:p w:rsidR="001302D7" w:rsidRDefault="0046548E">
            <w:pPr>
              <w:pStyle w:val="TableParagraph"/>
              <w:spacing w:before="158"/>
              <w:ind w:left="278"/>
              <w:rPr>
                <w:rFonts w:ascii="Arial"/>
                <w:b/>
              </w:rPr>
            </w:pPr>
            <w:r>
              <w:rPr>
                <w:rFonts w:ascii="Arial"/>
                <w:b/>
              </w:rPr>
              <w:t>UNIDAD I</w:t>
            </w:r>
          </w:p>
        </w:tc>
        <w:tc>
          <w:tcPr>
            <w:tcW w:w="4821" w:type="dxa"/>
          </w:tcPr>
          <w:p w:rsidR="001302D7" w:rsidRDefault="0046548E">
            <w:pPr>
              <w:pStyle w:val="TableParagraph"/>
              <w:spacing w:line="276" w:lineRule="auto"/>
              <w:ind w:left="110" w:right="92"/>
              <w:jc w:val="both"/>
              <w:rPr>
                <w:rFonts w:ascii="Arial" w:hAnsi="Arial" w:cs="Arial"/>
              </w:rPr>
            </w:pPr>
            <w:r>
              <w:rPr>
                <w:rFonts w:ascii="Arial" w:hAnsi="Arial" w:cs="Arial"/>
              </w:rPr>
              <w:t xml:space="preserve">Comprender y explicar el concepto y los alcances de los Tratados de Libre Comercio (TLC) desde una perspectiva jurídica y económica. Analizar el régimen tributario aplicable a los no domiciliados en Perú, específicamente el Impuesto a la </w:t>
            </w:r>
            <w:r>
              <w:rPr>
                <w:rFonts w:ascii="Arial" w:hAnsi="Arial" w:cs="Arial"/>
              </w:rPr>
              <w:t>Renta, y los criterios de vinculación de sus rentas con fuentes peruanas. Evaluar casos prácticos para aplicar los criterios de vinculación con las rentas de fuente peruana en el contexto de los TLC.</w:t>
            </w:r>
          </w:p>
        </w:tc>
        <w:tc>
          <w:tcPr>
            <w:tcW w:w="3266" w:type="dxa"/>
          </w:tcPr>
          <w:p w:rsidR="001302D7" w:rsidRDefault="0046548E">
            <w:pPr>
              <w:pStyle w:val="TableParagraph"/>
              <w:spacing w:before="158"/>
              <w:ind w:left="131" w:right="130"/>
              <w:jc w:val="center"/>
              <w:rPr>
                <w:rFonts w:ascii="Arial" w:hAnsi="Arial" w:cs="Arial"/>
                <w:b/>
              </w:rPr>
            </w:pPr>
            <w:r>
              <w:rPr>
                <w:rFonts w:ascii="Arial" w:hAnsi="Arial" w:cs="Arial"/>
                <w:b/>
              </w:rPr>
              <w:t xml:space="preserve">Los tratados de libre comercio (TLC): concepto y </w:t>
            </w:r>
            <w:r>
              <w:rPr>
                <w:rFonts w:ascii="Arial" w:hAnsi="Arial" w:cs="Arial"/>
                <w:b/>
              </w:rPr>
              <w:t>alcances, el impuesto a la renta de los no domiciliados en el Perú. Criterios de vinculación con las rentas de fuente peruana.</w:t>
            </w:r>
          </w:p>
        </w:tc>
        <w:tc>
          <w:tcPr>
            <w:tcW w:w="1273" w:type="dxa"/>
          </w:tcPr>
          <w:p w:rsidR="001302D7" w:rsidRDefault="001302D7">
            <w:pPr>
              <w:pStyle w:val="TableParagraph"/>
              <w:rPr>
                <w:rFonts w:ascii="Arial"/>
                <w:b/>
                <w:sz w:val="24"/>
              </w:rPr>
            </w:pPr>
          </w:p>
          <w:p w:rsidR="001302D7" w:rsidRDefault="001302D7">
            <w:pPr>
              <w:pStyle w:val="TableParagraph"/>
              <w:spacing w:before="8"/>
              <w:rPr>
                <w:rFonts w:ascii="Arial"/>
                <w:b/>
              </w:rPr>
            </w:pPr>
          </w:p>
          <w:p w:rsidR="001302D7" w:rsidRDefault="0046548E">
            <w:pPr>
              <w:pStyle w:val="TableParagraph"/>
              <w:spacing w:before="1"/>
              <w:ind w:left="159" w:right="154"/>
              <w:jc w:val="center"/>
              <w:rPr>
                <w:rFonts w:ascii="Arial"/>
                <w:b/>
              </w:rPr>
            </w:pPr>
            <w:r>
              <w:rPr>
                <w:rFonts w:ascii="Arial"/>
                <w:b/>
              </w:rPr>
              <w:t>1-4</w:t>
            </w:r>
          </w:p>
        </w:tc>
      </w:tr>
      <w:tr w:rsidR="001302D7">
        <w:trPr>
          <w:trHeight w:val="3087"/>
        </w:trPr>
        <w:tc>
          <w:tcPr>
            <w:tcW w:w="567" w:type="dxa"/>
            <w:shd w:val="clear" w:color="auto" w:fill="A6A6A6"/>
            <w:textDirection w:val="btLr"/>
          </w:tcPr>
          <w:p w:rsidR="001302D7" w:rsidRDefault="0046548E">
            <w:pPr>
              <w:pStyle w:val="TableParagraph"/>
              <w:spacing w:before="158"/>
              <w:ind w:left="422"/>
              <w:rPr>
                <w:rFonts w:ascii="Arial"/>
                <w:b/>
              </w:rPr>
            </w:pPr>
            <w:r>
              <w:rPr>
                <w:rFonts w:ascii="Arial"/>
                <w:b/>
              </w:rPr>
              <w:t>UNIDAD</w:t>
            </w:r>
            <w:r>
              <w:rPr>
                <w:rFonts w:ascii="Arial"/>
                <w:b/>
                <w:spacing w:val="61"/>
              </w:rPr>
              <w:t xml:space="preserve"> </w:t>
            </w:r>
            <w:r>
              <w:rPr>
                <w:rFonts w:ascii="Arial"/>
                <w:b/>
              </w:rPr>
              <w:t>II</w:t>
            </w:r>
          </w:p>
        </w:tc>
        <w:tc>
          <w:tcPr>
            <w:tcW w:w="4821" w:type="dxa"/>
            <w:vAlign w:val="center"/>
          </w:tcPr>
          <w:p w:rsidR="001302D7" w:rsidRDefault="0046548E">
            <w:pPr>
              <w:pStyle w:val="TableParagraph"/>
              <w:spacing w:line="276" w:lineRule="auto"/>
              <w:ind w:left="110" w:right="94"/>
              <w:rPr>
                <w:rFonts w:ascii="Arial" w:hAnsi="Arial" w:cs="Arial"/>
              </w:rPr>
            </w:pPr>
            <w:r>
              <w:rPr>
                <w:rFonts w:ascii="Arial" w:hAnsi="Arial" w:cs="Arial"/>
              </w:rPr>
              <w:t xml:space="preserve">Identificar y analizar el marco legal de los tratados internacionales referidos en los artículos 55 al 57 de la </w:t>
            </w:r>
            <w:r>
              <w:rPr>
                <w:rFonts w:ascii="Arial" w:hAnsi="Arial" w:cs="Arial"/>
              </w:rPr>
              <w:t>Ley del Impuesto a la Renta (LIR) del Perú. Clasificar los tratados internacionales como fuentes del derecho tributario y explicar su jerarquía normativa en relación con la legislación nacional.</w:t>
            </w:r>
          </w:p>
        </w:tc>
        <w:tc>
          <w:tcPr>
            <w:tcW w:w="3266" w:type="dxa"/>
          </w:tcPr>
          <w:p w:rsidR="001302D7" w:rsidRDefault="0046548E">
            <w:pPr>
              <w:pStyle w:val="TableParagraph"/>
              <w:spacing w:before="161" w:line="276" w:lineRule="auto"/>
              <w:ind w:left="182" w:right="176" w:hanging="5"/>
              <w:jc w:val="center"/>
              <w:rPr>
                <w:rFonts w:ascii="Arial" w:hAnsi="Arial" w:cs="Arial"/>
                <w:b/>
              </w:rPr>
            </w:pPr>
            <w:r>
              <w:rPr>
                <w:rFonts w:ascii="Arial" w:hAnsi="Arial" w:cs="Arial"/>
                <w:b/>
              </w:rPr>
              <w:t>Marco legal de los tratados internacionales a los que se refi</w:t>
            </w:r>
            <w:r>
              <w:rPr>
                <w:rFonts w:ascii="Arial" w:hAnsi="Arial" w:cs="Arial"/>
                <w:b/>
              </w:rPr>
              <w:t>eren los artículos Nºs. 55 al 57 de la LIR. Su clasificación como fuentes del derecho tributario. Los conceptos de vinculación con sujetos no domiciliados según la LIR.</w:t>
            </w:r>
          </w:p>
        </w:tc>
        <w:tc>
          <w:tcPr>
            <w:tcW w:w="1273" w:type="dxa"/>
          </w:tcPr>
          <w:p w:rsidR="001302D7" w:rsidRDefault="001302D7">
            <w:pPr>
              <w:pStyle w:val="TableParagraph"/>
              <w:rPr>
                <w:rFonts w:ascii="Arial"/>
                <w:b/>
                <w:sz w:val="24"/>
              </w:rPr>
            </w:pPr>
          </w:p>
          <w:p w:rsidR="001302D7" w:rsidRDefault="001302D7">
            <w:pPr>
              <w:pStyle w:val="TableParagraph"/>
              <w:spacing w:before="3"/>
              <w:rPr>
                <w:rFonts w:ascii="Arial"/>
                <w:b/>
                <w:sz w:val="35"/>
              </w:rPr>
            </w:pPr>
          </w:p>
          <w:p w:rsidR="001302D7" w:rsidRDefault="0046548E">
            <w:pPr>
              <w:pStyle w:val="TableParagraph"/>
              <w:ind w:left="159" w:right="154"/>
              <w:jc w:val="center"/>
              <w:rPr>
                <w:rFonts w:ascii="Arial"/>
                <w:b/>
              </w:rPr>
            </w:pPr>
            <w:r>
              <w:rPr>
                <w:rFonts w:ascii="Arial"/>
                <w:b/>
              </w:rPr>
              <w:t>5-8</w:t>
            </w:r>
          </w:p>
        </w:tc>
      </w:tr>
      <w:tr w:rsidR="001302D7">
        <w:trPr>
          <w:trHeight w:val="2252"/>
        </w:trPr>
        <w:tc>
          <w:tcPr>
            <w:tcW w:w="567" w:type="dxa"/>
            <w:shd w:val="clear" w:color="auto" w:fill="A6A6A6"/>
            <w:textDirection w:val="btLr"/>
          </w:tcPr>
          <w:p w:rsidR="001302D7" w:rsidRDefault="0046548E">
            <w:pPr>
              <w:pStyle w:val="TableParagraph"/>
              <w:spacing w:before="158"/>
              <w:ind w:left="172"/>
              <w:rPr>
                <w:rFonts w:ascii="Arial"/>
                <w:b/>
              </w:rPr>
            </w:pPr>
            <w:r>
              <w:rPr>
                <w:rFonts w:ascii="Arial"/>
                <w:b/>
              </w:rPr>
              <w:t>UNIDAD</w:t>
            </w:r>
            <w:r>
              <w:rPr>
                <w:rFonts w:ascii="Arial"/>
                <w:b/>
                <w:spacing w:val="60"/>
              </w:rPr>
              <w:t xml:space="preserve"> </w:t>
            </w:r>
            <w:r>
              <w:rPr>
                <w:rFonts w:ascii="Arial"/>
                <w:b/>
              </w:rPr>
              <w:t>III</w:t>
            </w:r>
          </w:p>
        </w:tc>
        <w:tc>
          <w:tcPr>
            <w:tcW w:w="4821" w:type="dxa"/>
            <w:vAlign w:val="center"/>
          </w:tcPr>
          <w:p w:rsidR="001302D7" w:rsidRDefault="001302D7">
            <w:pPr>
              <w:pStyle w:val="TableParagraph"/>
              <w:spacing w:before="2"/>
              <w:rPr>
                <w:rFonts w:ascii="Arial" w:hAnsi="Arial" w:cs="Arial"/>
                <w:b/>
                <w:sz w:val="19"/>
              </w:rPr>
            </w:pPr>
          </w:p>
          <w:p w:rsidR="001302D7" w:rsidRDefault="0046548E">
            <w:pPr>
              <w:pStyle w:val="TableParagraph"/>
              <w:spacing w:line="276" w:lineRule="auto"/>
              <w:ind w:left="110" w:right="92"/>
              <w:rPr>
                <w:rFonts w:ascii="Arial" w:hAnsi="Arial" w:cs="Arial"/>
              </w:rPr>
            </w:pPr>
            <w:r>
              <w:rPr>
                <w:rFonts w:ascii="Arial" w:hAnsi="Arial" w:cs="Arial"/>
              </w:rPr>
              <w:t xml:space="preserve">Analizar el problema de la doble imposición internacional y sus </w:t>
            </w:r>
            <w:r>
              <w:rPr>
                <w:rFonts w:ascii="Arial" w:hAnsi="Arial" w:cs="Arial"/>
              </w:rPr>
              <w:t>implicaciones en el contexto de la tributación internacional. Evaluar los alcances y beneficios de los convenios para evitar la doble imposición, con especial énfasis en el modelo de convenio de la OCDE.</w:t>
            </w:r>
          </w:p>
        </w:tc>
        <w:tc>
          <w:tcPr>
            <w:tcW w:w="3266" w:type="dxa"/>
          </w:tcPr>
          <w:p w:rsidR="001302D7" w:rsidRDefault="0046548E">
            <w:pPr>
              <w:pStyle w:val="TableParagraph"/>
              <w:spacing w:before="72" w:line="276" w:lineRule="auto"/>
              <w:ind w:left="129" w:right="114" w:hanging="8"/>
              <w:jc w:val="center"/>
              <w:rPr>
                <w:rFonts w:ascii="Arial" w:hAnsi="Arial" w:cs="Arial"/>
                <w:b/>
              </w:rPr>
            </w:pPr>
            <w:r>
              <w:rPr>
                <w:rFonts w:ascii="Arial" w:hAnsi="Arial" w:cs="Arial"/>
                <w:b/>
              </w:rPr>
              <w:t xml:space="preserve">La doble imposición internacional y los alcances de </w:t>
            </w:r>
            <w:r>
              <w:rPr>
                <w:rFonts w:ascii="Arial" w:hAnsi="Arial" w:cs="Arial"/>
                <w:b/>
              </w:rPr>
              <w:t>los convenios para evitar la doble imposición. Convenio marco “convenio modelo OCDE.</w:t>
            </w:r>
          </w:p>
        </w:tc>
        <w:tc>
          <w:tcPr>
            <w:tcW w:w="1273" w:type="dxa"/>
          </w:tcPr>
          <w:p w:rsidR="001302D7" w:rsidRDefault="001302D7">
            <w:pPr>
              <w:pStyle w:val="TableParagraph"/>
              <w:rPr>
                <w:rFonts w:ascii="Arial"/>
                <w:b/>
                <w:sz w:val="24"/>
              </w:rPr>
            </w:pPr>
          </w:p>
          <w:p w:rsidR="001302D7" w:rsidRDefault="0046548E">
            <w:pPr>
              <w:pStyle w:val="TableParagraph"/>
              <w:spacing w:before="190"/>
              <w:ind w:left="161" w:right="154"/>
              <w:jc w:val="center"/>
              <w:rPr>
                <w:rFonts w:ascii="Arial"/>
                <w:b/>
              </w:rPr>
            </w:pPr>
            <w:r>
              <w:rPr>
                <w:rFonts w:ascii="Arial"/>
                <w:b/>
              </w:rPr>
              <w:t>9-12</w:t>
            </w:r>
          </w:p>
        </w:tc>
      </w:tr>
      <w:tr w:rsidR="001302D7">
        <w:trPr>
          <w:trHeight w:val="1987"/>
        </w:trPr>
        <w:tc>
          <w:tcPr>
            <w:tcW w:w="567" w:type="dxa"/>
            <w:shd w:val="clear" w:color="auto" w:fill="A6A6A6"/>
            <w:textDirection w:val="btLr"/>
          </w:tcPr>
          <w:p w:rsidR="001302D7" w:rsidRDefault="0046548E">
            <w:pPr>
              <w:pStyle w:val="TableParagraph"/>
              <w:spacing w:before="158"/>
              <w:ind w:left="119"/>
              <w:rPr>
                <w:rFonts w:ascii="Arial"/>
                <w:b/>
              </w:rPr>
            </w:pPr>
            <w:r>
              <w:rPr>
                <w:rFonts w:ascii="Arial"/>
                <w:b/>
              </w:rPr>
              <w:t>UNIDAD</w:t>
            </w:r>
            <w:r>
              <w:rPr>
                <w:rFonts w:ascii="Arial"/>
                <w:b/>
                <w:spacing w:val="59"/>
              </w:rPr>
              <w:t xml:space="preserve"> </w:t>
            </w:r>
            <w:r>
              <w:rPr>
                <w:rFonts w:ascii="Arial"/>
                <w:b/>
              </w:rPr>
              <w:t>IV</w:t>
            </w:r>
          </w:p>
        </w:tc>
        <w:tc>
          <w:tcPr>
            <w:tcW w:w="4821" w:type="dxa"/>
            <w:vAlign w:val="center"/>
          </w:tcPr>
          <w:p w:rsidR="001302D7" w:rsidRDefault="0046548E">
            <w:pPr>
              <w:pStyle w:val="TableParagraph"/>
              <w:spacing w:before="28" w:line="276" w:lineRule="auto"/>
              <w:ind w:left="110" w:right="93"/>
              <w:rPr>
                <w:rFonts w:ascii="Arial" w:hAnsi="Arial" w:cs="Arial"/>
              </w:rPr>
            </w:pPr>
            <w:r>
              <w:rPr>
                <w:rFonts w:ascii="Arial" w:hAnsi="Arial" w:cs="Arial"/>
              </w:rPr>
              <w:t>Analizar la decisión Nº 578 de la Comunidad Andina de Naciones y su impacto en la tributación internacional.</w:t>
            </w:r>
          </w:p>
        </w:tc>
        <w:tc>
          <w:tcPr>
            <w:tcW w:w="3266" w:type="dxa"/>
          </w:tcPr>
          <w:p w:rsidR="001302D7" w:rsidRDefault="0046548E">
            <w:pPr>
              <w:pStyle w:val="TableParagraph"/>
              <w:spacing w:before="40" w:line="273" w:lineRule="auto"/>
              <w:ind w:left="141" w:right="7"/>
              <w:jc w:val="center"/>
              <w:rPr>
                <w:rFonts w:ascii="Arial" w:hAnsi="Arial" w:cs="Arial"/>
                <w:b/>
              </w:rPr>
            </w:pPr>
            <w:r>
              <w:rPr>
                <w:rFonts w:ascii="Arial" w:hAnsi="Arial" w:cs="Arial"/>
                <w:b/>
              </w:rPr>
              <w:t>Modelos de cdi con la república de chile y la</w:t>
            </w:r>
            <w:r>
              <w:rPr>
                <w:rFonts w:ascii="Arial" w:hAnsi="Arial" w:cs="Arial"/>
                <w:b/>
              </w:rPr>
              <w:t xml:space="preserve"> decisión Nº 578 de la comunidad andina de naciones.</w:t>
            </w:r>
          </w:p>
        </w:tc>
        <w:tc>
          <w:tcPr>
            <w:tcW w:w="1273" w:type="dxa"/>
          </w:tcPr>
          <w:p w:rsidR="001302D7" w:rsidRDefault="001302D7">
            <w:pPr>
              <w:pStyle w:val="TableParagraph"/>
              <w:rPr>
                <w:rFonts w:ascii="Arial"/>
                <w:b/>
                <w:sz w:val="24"/>
              </w:rPr>
            </w:pPr>
          </w:p>
          <w:p w:rsidR="001302D7" w:rsidRDefault="0046548E">
            <w:pPr>
              <w:pStyle w:val="TableParagraph"/>
              <w:spacing w:before="146"/>
              <w:ind w:left="161" w:right="154"/>
              <w:jc w:val="center"/>
              <w:rPr>
                <w:rFonts w:ascii="Arial"/>
                <w:b/>
              </w:rPr>
            </w:pPr>
            <w:r>
              <w:rPr>
                <w:rFonts w:ascii="Arial"/>
                <w:b/>
              </w:rPr>
              <w:t>13-16</w:t>
            </w:r>
          </w:p>
        </w:tc>
      </w:tr>
    </w:tbl>
    <w:p w:rsidR="001302D7" w:rsidRDefault="001302D7">
      <w:pPr>
        <w:pStyle w:val="Prrafodelista"/>
        <w:tabs>
          <w:tab w:val="left" w:pos="1659"/>
        </w:tabs>
        <w:spacing w:before="76"/>
        <w:ind w:left="1658" w:firstLine="0"/>
        <w:jc w:val="right"/>
        <w:rPr>
          <w:b/>
          <w:sz w:val="24"/>
        </w:rPr>
      </w:pPr>
    </w:p>
    <w:p w:rsidR="001302D7" w:rsidRDefault="0046548E">
      <w:pPr>
        <w:widowControl/>
        <w:autoSpaceDE/>
        <w:autoSpaceDN/>
        <w:rPr>
          <w:b/>
          <w:sz w:val="24"/>
        </w:rPr>
      </w:pPr>
      <w:r>
        <w:rPr>
          <w:b/>
          <w:sz w:val="24"/>
        </w:rPr>
        <w:br w:type="page"/>
      </w:r>
    </w:p>
    <w:bookmarkEnd w:id="1"/>
    <w:p w:rsidR="001302D7" w:rsidRDefault="001302D7">
      <w:pPr>
        <w:pStyle w:val="Prrafodelista"/>
        <w:tabs>
          <w:tab w:val="left" w:pos="1659"/>
        </w:tabs>
        <w:spacing w:before="76"/>
        <w:ind w:left="1658" w:firstLine="0"/>
        <w:jc w:val="right"/>
        <w:rPr>
          <w:b/>
          <w:sz w:val="24"/>
        </w:rPr>
      </w:pPr>
    </w:p>
    <w:p w:rsidR="001302D7" w:rsidRDefault="0046548E">
      <w:pPr>
        <w:pStyle w:val="Prrafodelista"/>
        <w:numPr>
          <w:ilvl w:val="0"/>
          <w:numId w:val="1"/>
        </w:numPr>
        <w:tabs>
          <w:tab w:val="left" w:pos="1659"/>
        </w:tabs>
        <w:spacing w:before="76"/>
        <w:ind w:hanging="400"/>
        <w:jc w:val="left"/>
        <w:rPr>
          <w:b/>
          <w:sz w:val="24"/>
        </w:rPr>
      </w:pPr>
      <w:r>
        <w:rPr>
          <w:b/>
          <w:sz w:val="24"/>
        </w:rPr>
        <w:t>INDICADORES DE CAPACIDADES AL FINALIZAR EL</w:t>
      </w:r>
      <w:r>
        <w:rPr>
          <w:b/>
          <w:spacing w:val="-3"/>
          <w:sz w:val="24"/>
        </w:rPr>
        <w:t xml:space="preserve"> </w:t>
      </w:r>
      <w:r>
        <w:rPr>
          <w:b/>
          <w:sz w:val="24"/>
        </w:rPr>
        <w:t>CURSO</w:t>
      </w:r>
    </w:p>
    <w:p w:rsidR="001302D7" w:rsidRDefault="001302D7">
      <w:pPr>
        <w:pStyle w:val="Textoindependiente"/>
        <w:rPr>
          <w:b/>
          <w:sz w:val="20"/>
        </w:rPr>
      </w:pPr>
    </w:p>
    <w:tbl>
      <w:tblPr>
        <w:tblStyle w:val="TableNormal"/>
        <w:tblW w:w="0" w:type="auto"/>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3"/>
        <w:gridCol w:w="8202"/>
      </w:tblGrid>
      <w:tr w:rsidR="001302D7">
        <w:trPr>
          <w:trHeight w:val="830"/>
        </w:trPr>
        <w:tc>
          <w:tcPr>
            <w:tcW w:w="1013" w:type="dxa"/>
          </w:tcPr>
          <w:p w:rsidR="001302D7" w:rsidRDefault="001302D7">
            <w:pPr>
              <w:pStyle w:val="TableParagraph"/>
              <w:spacing w:before="2"/>
              <w:rPr>
                <w:rFonts w:ascii="Arial" w:hAnsi="Arial" w:cs="Arial"/>
                <w:b/>
                <w:sz w:val="24"/>
              </w:rPr>
            </w:pPr>
          </w:p>
          <w:p w:rsidR="001302D7" w:rsidRDefault="0046548E">
            <w:pPr>
              <w:pStyle w:val="TableParagraph"/>
              <w:ind w:left="-1"/>
              <w:rPr>
                <w:rFonts w:ascii="Arial" w:hAnsi="Arial" w:cs="Arial"/>
                <w:b/>
                <w:sz w:val="24"/>
              </w:rPr>
            </w:pPr>
            <w:r>
              <w:rPr>
                <w:rFonts w:ascii="Arial" w:hAnsi="Arial" w:cs="Arial"/>
                <w:b/>
                <w:sz w:val="24"/>
              </w:rPr>
              <w:t>Número</w:t>
            </w:r>
          </w:p>
        </w:tc>
        <w:tc>
          <w:tcPr>
            <w:tcW w:w="8202" w:type="dxa"/>
          </w:tcPr>
          <w:p w:rsidR="001302D7" w:rsidRDefault="001302D7">
            <w:pPr>
              <w:pStyle w:val="TableParagraph"/>
              <w:spacing w:before="2"/>
              <w:rPr>
                <w:rFonts w:ascii="Arial" w:hAnsi="Arial" w:cs="Arial"/>
                <w:b/>
                <w:sz w:val="24"/>
              </w:rPr>
            </w:pPr>
          </w:p>
          <w:p w:rsidR="001302D7" w:rsidRDefault="0046548E">
            <w:pPr>
              <w:pStyle w:val="TableParagraph"/>
              <w:ind w:left="792"/>
              <w:rPr>
                <w:rFonts w:ascii="Arial" w:hAnsi="Arial" w:cs="Arial"/>
                <w:b/>
                <w:sz w:val="24"/>
              </w:rPr>
            </w:pPr>
            <w:r>
              <w:rPr>
                <w:rFonts w:ascii="Arial" w:hAnsi="Arial" w:cs="Arial"/>
                <w:b/>
                <w:sz w:val="24"/>
              </w:rPr>
              <w:t>INDICADORES DE CAPACIDAD AL FINALIZAR EL CURSO</w:t>
            </w:r>
          </w:p>
        </w:tc>
      </w:tr>
      <w:tr w:rsidR="001302D7">
        <w:trPr>
          <w:trHeight w:val="623"/>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1</w:t>
            </w:r>
          </w:p>
        </w:tc>
        <w:tc>
          <w:tcPr>
            <w:tcW w:w="8202" w:type="dxa"/>
            <w:vAlign w:val="center"/>
          </w:tcPr>
          <w:p w:rsidR="001302D7" w:rsidRDefault="0046548E">
            <w:pPr>
              <w:pStyle w:val="TableParagraph"/>
              <w:spacing w:line="242" w:lineRule="auto"/>
              <w:ind w:left="110" w:right="737"/>
              <w:rPr>
                <w:rFonts w:ascii="Arial" w:hAnsi="Arial" w:cs="Arial"/>
                <w:sz w:val="24"/>
              </w:rPr>
            </w:pPr>
            <w:r>
              <w:rPr>
                <w:rFonts w:ascii="Arial" w:hAnsi="Arial" w:cs="Arial"/>
                <w:b/>
                <w:bCs/>
              </w:rPr>
              <w:t>Explica</w:t>
            </w:r>
            <w:r>
              <w:rPr>
                <w:rFonts w:ascii="Arial" w:hAnsi="Arial" w:cs="Arial"/>
              </w:rPr>
              <w:t xml:space="preserve"> los principios fundamentales de la Convención de Viena y su importancia en la celebración de tratados internacionales.</w:t>
            </w:r>
          </w:p>
        </w:tc>
      </w:tr>
      <w:tr w:rsidR="001302D7">
        <w:trPr>
          <w:trHeight w:val="623"/>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2</w:t>
            </w:r>
          </w:p>
        </w:tc>
        <w:tc>
          <w:tcPr>
            <w:tcW w:w="8202" w:type="dxa"/>
            <w:vAlign w:val="center"/>
          </w:tcPr>
          <w:p w:rsidR="001302D7" w:rsidRDefault="0046548E">
            <w:pPr>
              <w:pStyle w:val="TableParagraph"/>
              <w:spacing w:line="242" w:lineRule="auto"/>
              <w:ind w:left="110" w:right="110"/>
              <w:rPr>
                <w:rFonts w:ascii="Arial" w:hAnsi="Arial" w:cs="Arial"/>
                <w:sz w:val="24"/>
              </w:rPr>
            </w:pPr>
            <w:r>
              <w:rPr>
                <w:rFonts w:ascii="Arial" w:hAnsi="Arial" w:cs="Arial"/>
                <w:b/>
                <w:bCs/>
              </w:rPr>
              <w:t>Identifica</w:t>
            </w:r>
            <w:r>
              <w:rPr>
                <w:rFonts w:ascii="Arial" w:hAnsi="Arial" w:cs="Arial"/>
              </w:rPr>
              <w:t xml:space="preserve"> las obligaciones de las partes en contratos internacionales aplicando ejemplos reales.</w:t>
            </w:r>
          </w:p>
        </w:tc>
      </w:tr>
      <w:tr w:rsidR="001302D7">
        <w:trPr>
          <w:trHeight w:val="624"/>
        </w:trPr>
        <w:tc>
          <w:tcPr>
            <w:tcW w:w="1013" w:type="dxa"/>
            <w:vAlign w:val="center"/>
          </w:tcPr>
          <w:p w:rsidR="001302D7" w:rsidRDefault="001302D7">
            <w:pPr>
              <w:pStyle w:val="TableParagraph"/>
              <w:jc w:val="center"/>
              <w:rPr>
                <w:rFonts w:ascii="Arial" w:hAnsi="Arial" w:cs="Arial"/>
                <w:b/>
                <w:sz w:val="27"/>
              </w:rPr>
            </w:pPr>
          </w:p>
          <w:p w:rsidR="001302D7" w:rsidRDefault="0046548E">
            <w:pPr>
              <w:pStyle w:val="TableParagraph"/>
              <w:ind w:left="128"/>
              <w:jc w:val="center"/>
              <w:rPr>
                <w:rFonts w:ascii="Arial" w:hAnsi="Arial" w:cs="Arial"/>
                <w:sz w:val="24"/>
              </w:rPr>
            </w:pPr>
            <w:r>
              <w:rPr>
                <w:rFonts w:ascii="Arial" w:hAnsi="Arial" w:cs="Arial"/>
                <w:w w:val="99"/>
                <w:sz w:val="24"/>
              </w:rPr>
              <w:t>3</w:t>
            </w:r>
          </w:p>
        </w:tc>
        <w:tc>
          <w:tcPr>
            <w:tcW w:w="8202" w:type="dxa"/>
            <w:vAlign w:val="center"/>
          </w:tcPr>
          <w:p w:rsidR="001302D7" w:rsidRDefault="0046548E">
            <w:pPr>
              <w:pStyle w:val="TableParagraph"/>
              <w:ind w:left="110"/>
              <w:rPr>
                <w:rFonts w:ascii="Arial" w:hAnsi="Arial" w:cs="Arial"/>
                <w:sz w:val="24"/>
              </w:rPr>
            </w:pPr>
            <w:r>
              <w:rPr>
                <w:rFonts w:ascii="Arial" w:hAnsi="Arial" w:cs="Arial"/>
                <w:b/>
                <w:bCs/>
              </w:rPr>
              <w:t>Aplica</w:t>
            </w:r>
            <w:r>
              <w:rPr>
                <w:rFonts w:ascii="Arial" w:hAnsi="Arial" w:cs="Arial"/>
              </w:rPr>
              <w:t xml:space="preserve"> correctamente los Incoterms en situaciones prácticas de comercio exterior.</w:t>
            </w:r>
          </w:p>
        </w:tc>
      </w:tr>
      <w:tr w:rsidR="001302D7">
        <w:trPr>
          <w:trHeight w:val="623"/>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4</w:t>
            </w:r>
          </w:p>
        </w:tc>
        <w:tc>
          <w:tcPr>
            <w:tcW w:w="8202" w:type="dxa"/>
            <w:vAlign w:val="center"/>
          </w:tcPr>
          <w:p w:rsidR="001302D7" w:rsidRDefault="0046548E">
            <w:pPr>
              <w:pStyle w:val="TableParagraph"/>
              <w:spacing w:line="242" w:lineRule="auto"/>
              <w:ind w:left="110" w:right="270"/>
              <w:rPr>
                <w:rFonts w:ascii="Arial" w:hAnsi="Arial" w:cs="Arial"/>
                <w:sz w:val="24"/>
              </w:rPr>
            </w:pPr>
            <w:r>
              <w:rPr>
                <w:rFonts w:ascii="Arial" w:hAnsi="Arial" w:cs="Arial"/>
                <w:b/>
                <w:bCs/>
              </w:rPr>
              <w:t>Analiza</w:t>
            </w:r>
            <w:r>
              <w:rPr>
                <w:rFonts w:ascii="Arial" w:hAnsi="Arial" w:cs="Arial"/>
              </w:rPr>
              <w:t xml:space="preserve"> acontecimientos actuales que influyen en el comercio internacional y su impacto en los TLC.</w:t>
            </w:r>
          </w:p>
        </w:tc>
      </w:tr>
      <w:tr w:rsidR="001302D7">
        <w:trPr>
          <w:trHeight w:val="623"/>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5</w:t>
            </w:r>
          </w:p>
        </w:tc>
        <w:tc>
          <w:tcPr>
            <w:tcW w:w="8202" w:type="dxa"/>
            <w:vAlign w:val="center"/>
          </w:tcPr>
          <w:p w:rsidR="001302D7" w:rsidRDefault="0046548E">
            <w:pPr>
              <w:pStyle w:val="TableParagraph"/>
              <w:spacing w:line="237" w:lineRule="auto"/>
              <w:ind w:left="110" w:right="858"/>
              <w:rPr>
                <w:rFonts w:ascii="Arial" w:hAnsi="Arial" w:cs="Arial"/>
                <w:sz w:val="24"/>
              </w:rPr>
            </w:pPr>
            <w:r>
              <w:rPr>
                <w:rFonts w:ascii="Arial" w:hAnsi="Arial" w:cs="Arial"/>
                <w:b/>
                <w:bCs/>
              </w:rPr>
              <w:t>Diferencia</w:t>
            </w:r>
            <w:r>
              <w:rPr>
                <w:rFonts w:ascii="Arial" w:hAnsi="Arial" w:cs="Arial"/>
              </w:rPr>
              <w:t xml:space="preserve"> tratados bilaterales y multilaterales analizando su impacto económico.</w:t>
            </w:r>
          </w:p>
        </w:tc>
      </w:tr>
      <w:tr w:rsidR="001302D7">
        <w:trPr>
          <w:trHeight w:val="624"/>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6</w:t>
            </w:r>
          </w:p>
        </w:tc>
        <w:tc>
          <w:tcPr>
            <w:tcW w:w="8202" w:type="dxa"/>
            <w:vAlign w:val="center"/>
          </w:tcPr>
          <w:p w:rsidR="001302D7" w:rsidRDefault="0046548E">
            <w:pPr>
              <w:pStyle w:val="TableParagraph"/>
              <w:spacing w:line="237" w:lineRule="auto"/>
              <w:ind w:left="110" w:right="403"/>
              <w:rPr>
                <w:rFonts w:ascii="Arial" w:hAnsi="Arial" w:cs="Arial"/>
                <w:sz w:val="24"/>
              </w:rPr>
            </w:pPr>
            <w:r>
              <w:rPr>
                <w:rFonts w:ascii="Arial" w:hAnsi="Arial" w:cs="Arial"/>
                <w:b/>
                <w:bCs/>
              </w:rPr>
              <w:t>Explica</w:t>
            </w:r>
            <w:r>
              <w:rPr>
                <w:rFonts w:ascii="Arial" w:hAnsi="Arial" w:cs="Arial"/>
              </w:rPr>
              <w:t xml:space="preserve"> los beneficios comerciales de los TLC utilizando datos económicos.</w:t>
            </w:r>
          </w:p>
        </w:tc>
      </w:tr>
      <w:tr w:rsidR="001302D7">
        <w:trPr>
          <w:trHeight w:val="623"/>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7</w:t>
            </w:r>
          </w:p>
        </w:tc>
        <w:tc>
          <w:tcPr>
            <w:tcW w:w="8202" w:type="dxa"/>
            <w:vAlign w:val="center"/>
          </w:tcPr>
          <w:p w:rsidR="001302D7" w:rsidRDefault="0046548E">
            <w:pPr>
              <w:pStyle w:val="TableParagraph"/>
              <w:spacing w:line="237" w:lineRule="auto"/>
              <w:ind w:left="110" w:right="150"/>
              <w:rPr>
                <w:rFonts w:ascii="Arial" w:hAnsi="Arial" w:cs="Arial"/>
                <w:sz w:val="24"/>
              </w:rPr>
            </w:pPr>
            <w:r>
              <w:rPr>
                <w:rFonts w:ascii="Arial" w:hAnsi="Arial" w:cs="Arial"/>
                <w:b/>
                <w:bCs/>
              </w:rPr>
              <w:t>Identifica</w:t>
            </w:r>
            <w:r>
              <w:rPr>
                <w:rFonts w:ascii="Arial" w:hAnsi="Arial" w:cs="Arial"/>
              </w:rPr>
              <w:t xml:space="preserve"> oportunidades comerciales generadas por los TLC.</w:t>
            </w:r>
          </w:p>
        </w:tc>
      </w:tr>
      <w:tr w:rsidR="001302D7">
        <w:trPr>
          <w:trHeight w:val="623"/>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8</w:t>
            </w:r>
          </w:p>
        </w:tc>
        <w:tc>
          <w:tcPr>
            <w:tcW w:w="8202" w:type="dxa"/>
            <w:vAlign w:val="center"/>
          </w:tcPr>
          <w:p w:rsidR="001302D7" w:rsidRDefault="0046548E">
            <w:pPr>
              <w:pStyle w:val="TableParagraph"/>
              <w:spacing w:line="237" w:lineRule="auto"/>
              <w:ind w:left="110" w:right="83"/>
              <w:rPr>
                <w:rFonts w:ascii="Arial" w:hAnsi="Arial" w:cs="Arial"/>
                <w:sz w:val="24"/>
              </w:rPr>
            </w:pPr>
            <w:r>
              <w:rPr>
                <w:rFonts w:ascii="Arial" w:hAnsi="Arial" w:cs="Arial"/>
                <w:b/>
                <w:bCs/>
              </w:rPr>
              <w:t>Interpreta</w:t>
            </w:r>
            <w:r>
              <w:rPr>
                <w:rFonts w:ascii="Arial" w:hAnsi="Arial" w:cs="Arial"/>
              </w:rPr>
              <w:t xml:space="preserve"> correctamente las siglas y documentos utilizados en el transporte marítimo internacional.</w:t>
            </w:r>
          </w:p>
        </w:tc>
      </w:tr>
      <w:tr w:rsidR="001302D7">
        <w:trPr>
          <w:trHeight w:val="624"/>
        </w:trPr>
        <w:tc>
          <w:tcPr>
            <w:tcW w:w="1013" w:type="dxa"/>
            <w:vAlign w:val="center"/>
          </w:tcPr>
          <w:p w:rsidR="001302D7" w:rsidRDefault="0046548E">
            <w:pPr>
              <w:pStyle w:val="TableParagraph"/>
              <w:ind w:left="128"/>
              <w:jc w:val="center"/>
              <w:rPr>
                <w:rFonts w:ascii="Arial" w:hAnsi="Arial" w:cs="Arial"/>
                <w:sz w:val="24"/>
              </w:rPr>
            </w:pPr>
            <w:r>
              <w:rPr>
                <w:rFonts w:ascii="Arial" w:hAnsi="Arial" w:cs="Arial"/>
                <w:w w:val="99"/>
                <w:sz w:val="24"/>
              </w:rPr>
              <w:t>9</w:t>
            </w:r>
          </w:p>
        </w:tc>
        <w:tc>
          <w:tcPr>
            <w:tcW w:w="8202" w:type="dxa"/>
            <w:vAlign w:val="center"/>
          </w:tcPr>
          <w:p w:rsidR="001302D7" w:rsidRDefault="0046548E">
            <w:pPr>
              <w:pStyle w:val="TableParagraph"/>
              <w:spacing w:line="237" w:lineRule="auto"/>
              <w:ind w:left="110" w:right="1005"/>
              <w:rPr>
                <w:rFonts w:ascii="Arial" w:hAnsi="Arial" w:cs="Arial"/>
                <w:sz w:val="24"/>
              </w:rPr>
            </w:pPr>
            <w:r>
              <w:rPr>
                <w:rFonts w:ascii="Arial" w:hAnsi="Arial" w:cs="Arial"/>
                <w:b/>
                <w:bCs/>
              </w:rPr>
              <w:t>Explica</w:t>
            </w:r>
            <w:r>
              <w:rPr>
                <w:rFonts w:ascii="Arial" w:hAnsi="Arial" w:cs="Arial"/>
              </w:rPr>
              <w:t xml:space="preserve"> la estructura del Sistema Armonizado y aplica las reglas de interpretación para clasificar mercancías.</w:t>
            </w:r>
          </w:p>
        </w:tc>
      </w:tr>
      <w:tr w:rsidR="001302D7">
        <w:trPr>
          <w:trHeight w:val="623"/>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10</w:t>
            </w:r>
          </w:p>
        </w:tc>
        <w:tc>
          <w:tcPr>
            <w:tcW w:w="8202" w:type="dxa"/>
            <w:vAlign w:val="center"/>
          </w:tcPr>
          <w:p w:rsidR="001302D7" w:rsidRDefault="0046548E">
            <w:pPr>
              <w:pStyle w:val="TableParagraph"/>
              <w:spacing w:line="237" w:lineRule="auto"/>
              <w:ind w:left="110" w:right="137"/>
              <w:rPr>
                <w:rFonts w:ascii="Arial" w:hAnsi="Arial" w:cs="Arial"/>
                <w:sz w:val="24"/>
              </w:rPr>
            </w:pPr>
            <w:r>
              <w:rPr>
                <w:rFonts w:ascii="Arial" w:hAnsi="Arial" w:cs="Arial"/>
                <w:b/>
                <w:bCs/>
              </w:rPr>
              <w:t>Clasifica</w:t>
            </w:r>
            <w:r>
              <w:rPr>
                <w:rFonts w:ascii="Arial" w:hAnsi="Arial" w:cs="Arial"/>
              </w:rPr>
              <w:t xml:space="preserve"> mercancías correctamente aplicando las reglas del Sistema Armonizado.</w:t>
            </w:r>
          </w:p>
        </w:tc>
      </w:tr>
      <w:tr w:rsidR="001302D7">
        <w:trPr>
          <w:trHeight w:val="628"/>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11</w:t>
            </w:r>
          </w:p>
        </w:tc>
        <w:tc>
          <w:tcPr>
            <w:tcW w:w="8202" w:type="dxa"/>
            <w:vAlign w:val="center"/>
          </w:tcPr>
          <w:p w:rsidR="001302D7" w:rsidRDefault="0046548E">
            <w:pPr>
              <w:pStyle w:val="TableParagraph"/>
              <w:spacing w:line="242" w:lineRule="auto"/>
              <w:ind w:left="110" w:right="831"/>
              <w:rPr>
                <w:rFonts w:ascii="Arial" w:hAnsi="Arial" w:cs="Arial"/>
                <w:sz w:val="24"/>
              </w:rPr>
            </w:pPr>
            <w:r>
              <w:rPr>
                <w:rFonts w:ascii="Arial" w:hAnsi="Arial" w:cs="Arial"/>
                <w:b/>
                <w:bCs/>
              </w:rPr>
              <w:t>Aplica</w:t>
            </w:r>
            <w:r>
              <w:rPr>
                <w:rFonts w:ascii="Arial" w:hAnsi="Arial" w:cs="Arial"/>
              </w:rPr>
              <w:t xml:space="preserve"> correctamente la clasificación arancelaria en diferentes casos de mercancías.</w:t>
            </w:r>
          </w:p>
        </w:tc>
      </w:tr>
      <w:tr w:rsidR="001302D7">
        <w:trPr>
          <w:trHeight w:val="623"/>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12</w:t>
            </w:r>
          </w:p>
        </w:tc>
        <w:tc>
          <w:tcPr>
            <w:tcW w:w="8202" w:type="dxa"/>
            <w:vAlign w:val="center"/>
          </w:tcPr>
          <w:p w:rsidR="001302D7" w:rsidRDefault="0046548E">
            <w:pPr>
              <w:pStyle w:val="TableParagraph"/>
              <w:ind w:left="110"/>
              <w:rPr>
                <w:rFonts w:ascii="Arial" w:hAnsi="Arial" w:cs="Arial"/>
                <w:sz w:val="24"/>
              </w:rPr>
            </w:pPr>
            <w:r>
              <w:rPr>
                <w:rFonts w:ascii="Arial" w:hAnsi="Arial" w:cs="Arial"/>
                <w:b/>
                <w:bCs/>
              </w:rPr>
              <w:t>Explica</w:t>
            </w:r>
            <w:r>
              <w:rPr>
                <w:rFonts w:ascii="Arial" w:hAnsi="Arial" w:cs="Arial"/>
              </w:rPr>
              <w:t xml:space="preserve"> los mecanismos del Convenio Modelo OCDE y su aplicación para evitar la doble imposición internacional.</w:t>
            </w:r>
          </w:p>
        </w:tc>
      </w:tr>
      <w:tr w:rsidR="001302D7">
        <w:trPr>
          <w:trHeight w:val="623"/>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13</w:t>
            </w:r>
          </w:p>
        </w:tc>
        <w:tc>
          <w:tcPr>
            <w:tcW w:w="8202" w:type="dxa"/>
            <w:vAlign w:val="center"/>
          </w:tcPr>
          <w:p w:rsidR="001302D7" w:rsidRDefault="0046548E">
            <w:pPr>
              <w:pStyle w:val="TableParagraph"/>
              <w:spacing w:line="242" w:lineRule="auto"/>
              <w:ind w:left="110" w:right="404"/>
              <w:rPr>
                <w:rFonts w:ascii="Arial" w:hAnsi="Arial" w:cs="Arial"/>
                <w:sz w:val="24"/>
              </w:rPr>
            </w:pPr>
            <w:r>
              <w:rPr>
                <w:rFonts w:ascii="Arial" w:hAnsi="Arial" w:cs="Arial"/>
                <w:b/>
                <w:bCs/>
              </w:rPr>
              <w:t>Explica</w:t>
            </w:r>
            <w:r>
              <w:rPr>
                <w:rFonts w:ascii="Arial" w:hAnsi="Arial" w:cs="Arial"/>
              </w:rPr>
              <w:t xml:space="preserve"> el rol de los bloques económicos en el comercio internacional.</w:t>
            </w:r>
          </w:p>
        </w:tc>
      </w:tr>
      <w:tr w:rsidR="001302D7">
        <w:trPr>
          <w:trHeight w:val="624"/>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14</w:t>
            </w:r>
          </w:p>
        </w:tc>
        <w:tc>
          <w:tcPr>
            <w:tcW w:w="8202" w:type="dxa"/>
            <w:vAlign w:val="center"/>
          </w:tcPr>
          <w:p w:rsidR="001302D7" w:rsidRDefault="0046548E">
            <w:pPr>
              <w:pStyle w:val="TableParagraph"/>
              <w:spacing w:line="242" w:lineRule="auto"/>
              <w:ind w:left="110" w:right="96"/>
              <w:rPr>
                <w:rFonts w:ascii="Arial" w:hAnsi="Arial" w:cs="Arial"/>
                <w:sz w:val="24"/>
              </w:rPr>
            </w:pPr>
            <w:r>
              <w:rPr>
                <w:rFonts w:ascii="Arial" w:hAnsi="Arial" w:cs="Arial"/>
                <w:b/>
                <w:bCs/>
              </w:rPr>
              <w:t>Describe</w:t>
            </w:r>
            <w:r>
              <w:rPr>
                <w:rFonts w:ascii="Arial" w:hAnsi="Arial" w:cs="Arial"/>
              </w:rPr>
              <w:t xml:space="preserve"> los beneficios del APEC para el Perú.</w:t>
            </w:r>
          </w:p>
        </w:tc>
      </w:tr>
      <w:tr w:rsidR="001302D7">
        <w:trPr>
          <w:trHeight w:val="623"/>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15</w:t>
            </w:r>
          </w:p>
        </w:tc>
        <w:tc>
          <w:tcPr>
            <w:tcW w:w="8202" w:type="dxa"/>
            <w:vAlign w:val="center"/>
          </w:tcPr>
          <w:p w:rsidR="001302D7" w:rsidRDefault="0046548E">
            <w:pPr>
              <w:pStyle w:val="TableParagraph"/>
              <w:ind w:left="110"/>
              <w:rPr>
                <w:rFonts w:ascii="Arial" w:hAnsi="Arial" w:cs="Arial"/>
                <w:sz w:val="24"/>
              </w:rPr>
            </w:pPr>
            <w:r>
              <w:rPr>
                <w:rFonts w:ascii="Arial" w:hAnsi="Arial" w:cs="Arial"/>
                <w:b/>
                <w:bCs/>
              </w:rPr>
              <w:t>Calcula</w:t>
            </w:r>
            <w:r>
              <w:rPr>
                <w:rFonts w:ascii="Arial" w:hAnsi="Arial" w:cs="Arial"/>
              </w:rPr>
              <w:t xml:space="preserve"> tributos aduaneros en operaciones de importación.</w:t>
            </w:r>
          </w:p>
        </w:tc>
      </w:tr>
      <w:tr w:rsidR="001302D7">
        <w:trPr>
          <w:trHeight w:val="623"/>
        </w:trPr>
        <w:tc>
          <w:tcPr>
            <w:tcW w:w="1013" w:type="dxa"/>
            <w:vAlign w:val="center"/>
          </w:tcPr>
          <w:p w:rsidR="001302D7" w:rsidRDefault="0046548E">
            <w:pPr>
              <w:pStyle w:val="TableParagraph"/>
              <w:ind w:left="431"/>
              <w:rPr>
                <w:rFonts w:ascii="Arial" w:hAnsi="Arial" w:cs="Arial"/>
                <w:sz w:val="24"/>
              </w:rPr>
            </w:pPr>
            <w:r>
              <w:rPr>
                <w:rFonts w:ascii="Arial" w:hAnsi="Arial" w:cs="Arial"/>
                <w:sz w:val="24"/>
              </w:rPr>
              <w:t>16</w:t>
            </w:r>
          </w:p>
        </w:tc>
        <w:tc>
          <w:tcPr>
            <w:tcW w:w="8202" w:type="dxa"/>
            <w:vAlign w:val="center"/>
          </w:tcPr>
          <w:p w:rsidR="001302D7" w:rsidRDefault="0046548E">
            <w:pPr>
              <w:pStyle w:val="TableParagraph"/>
              <w:spacing w:line="242" w:lineRule="auto"/>
              <w:ind w:left="110"/>
              <w:rPr>
                <w:rFonts w:ascii="Arial" w:hAnsi="Arial" w:cs="Arial"/>
                <w:sz w:val="24"/>
              </w:rPr>
            </w:pPr>
            <w:r>
              <w:rPr>
                <w:rFonts w:ascii="Arial" w:hAnsi="Arial" w:cs="Arial"/>
                <w:b/>
                <w:bCs/>
              </w:rPr>
              <w:t>Aplica</w:t>
            </w:r>
            <w:r>
              <w:rPr>
                <w:rFonts w:ascii="Arial" w:hAnsi="Arial" w:cs="Arial"/>
              </w:rPr>
              <w:t xml:space="preserve"> los mecanismos de la Decisión 578 para evitar la doble tributación.</w:t>
            </w:r>
          </w:p>
        </w:tc>
      </w:tr>
    </w:tbl>
    <w:p w:rsidR="001302D7" w:rsidRDefault="001302D7">
      <w:pPr>
        <w:spacing w:line="242" w:lineRule="auto"/>
        <w:rPr>
          <w:sz w:val="24"/>
        </w:rPr>
        <w:sectPr w:rsidR="001302D7">
          <w:pgSz w:w="11910" w:h="16840"/>
          <w:pgMar w:top="900" w:right="160" w:bottom="280" w:left="440" w:header="720" w:footer="720" w:gutter="0"/>
          <w:cols w:space="720"/>
        </w:sectPr>
      </w:pPr>
    </w:p>
    <w:p w:rsidR="001302D7" w:rsidRDefault="0046548E">
      <w:pPr>
        <w:pStyle w:val="Prrafodelista"/>
        <w:numPr>
          <w:ilvl w:val="0"/>
          <w:numId w:val="1"/>
        </w:numPr>
        <w:tabs>
          <w:tab w:val="left" w:pos="499"/>
        </w:tabs>
        <w:spacing w:before="86"/>
        <w:ind w:left="498"/>
        <w:jc w:val="left"/>
        <w:rPr>
          <w:rFonts w:ascii="Caladea"/>
          <w:b/>
          <w:sz w:val="24"/>
        </w:rPr>
      </w:pPr>
      <w:r>
        <w:rPr>
          <w:rFonts w:ascii="Caladea"/>
          <w:b/>
          <w:sz w:val="24"/>
        </w:rPr>
        <w:lastRenderedPageBreak/>
        <w:t>DESARROLLO DE LAS UNIDADES</w:t>
      </w:r>
      <w:r>
        <w:rPr>
          <w:rFonts w:ascii="Caladea"/>
          <w:b/>
          <w:spacing w:val="2"/>
          <w:sz w:val="24"/>
        </w:rPr>
        <w:t xml:space="preserve"> </w:t>
      </w:r>
      <w:r>
        <w:rPr>
          <w:rFonts w:ascii="Caladea"/>
          <w:b/>
          <w:sz w:val="24"/>
        </w:rPr>
        <w:t>DID</w:t>
      </w:r>
      <w:r>
        <w:rPr>
          <w:rFonts w:ascii="Caladea"/>
          <w:b/>
          <w:sz w:val="24"/>
        </w:rPr>
        <w:t>Á</w:t>
      </w:r>
      <w:r>
        <w:rPr>
          <w:rFonts w:ascii="Caladea"/>
          <w:b/>
          <w:sz w:val="24"/>
        </w:rPr>
        <w:t>CTICAS:</w:t>
      </w:r>
    </w:p>
    <w:p w:rsidR="001302D7" w:rsidRDefault="001302D7">
      <w:pPr>
        <w:pStyle w:val="Textoindependiente"/>
        <w:spacing w:before="5"/>
        <w:rPr>
          <w:rFonts w:ascii="Caladea"/>
          <w:b/>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8"/>
        <w:gridCol w:w="888"/>
        <w:gridCol w:w="2602"/>
        <w:gridCol w:w="1263"/>
        <w:gridCol w:w="1575"/>
        <w:gridCol w:w="2408"/>
        <w:gridCol w:w="924"/>
        <w:gridCol w:w="1633"/>
        <w:gridCol w:w="3203"/>
      </w:tblGrid>
      <w:tr w:rsidR="001302D7">
        <w:trPr>
          <w:trHeight w:val="733"/>
        </w:trPr>
        <w:tc>
          <w:tcPr>
            <w:tcW w:w="898" w:type="dxa"/>
            <w:vMerge w:val="restart"/>
            <w:tcBorders>
              <w:right w:val="single" w:sz="4" w:space="0" w:color="auto"/>
            </w:tcBorders>
            <w:textDirection w:val="btLr"/>
            <w:vAlign w:val="center"/>
          </w:tcPr>
          <w:p w:rsidR="001302D7" w:rsidRDefault="0046548E">
            <w:pPr>
              <w:pStyle w:val="TableParagraph"/>
              <w:spacing w:before="218"/>
              <w:ind w:left="715"/>
              <w:jc w:val="center"/>
              <w:rPr>
                <w:rFonts w:ascii="Arial" w:hAnsi="Arial" w:cs="Arial"/>
                <w:b/>
                <w:i/>
                <w:sz w:val="18"/>
                <w:szCs w:val="18"/>
              </w:rPr>
            </w:pPr>
            <w:r>
              <w:rPr>
                <w:rFonts w:ascii="Arial" w:hAnsi="Arial" w:cs="Arial"/>
                <w:b/>
                <w:sz w:val="18"/>
                <w:szCs w:val="18"/>
              </w:rPr>
              <w:t xml:space="preserve">Unidad Didáctica I: Los tratados de libre comercio (TLC): concepto y </w:t>
            </w:r>
            <w:r>
              <w:rPr>
                <w:rFonts w:ascii="Arial" w:hAnsi="Arial" w:cs="Arial"/>
                <w:b/>
                <w:sz w:val="18"/>
                <w:szCs w:val="18"/>
              </w:rPr>
              <w:t>alcances, el impuesto a la renta de los no domiciliados en el Perú. Criterios de vinculación con las rentas de fuente peruana.</w:t>
            </w:r>
          </w:p>
        </w:tc>
        <w:tc>
          <w:tcPr>
            <w:tcW w:w="14496" w:type="dxa"/>
            <w:gridSpan w:val="8"/>
            <w:tcBorders>
              <w:top w:val="single" w:sz="4" w:space="0" w:color="auto"/>
              <w:left w:val="single" w:sz="4" w:space="0" w:color="auto"/>
              <w:right w:val="single" w:sz="4" w:space="0" w:color="auto"/>
            </w:tcBorders>
          </w:tcPr>
          <w:p w:rsidR="001302D7" w:rsidRDefault="0046548E">
            <w:pPr>
              <w:pStyle w:val="TableParagraph"/>
              <w:spacing w:before="2"/>
              <w:ind w:left="62"/>
              <w:rPr>
                <w:rFonts w:ascii="Arial" w:hAnsi="Arial" w:cs="Arial"/>
                <w:sz w:val="18"/>
                <w:szCs w:val="18"/>
              </w:rPr>
            </w:pPr>
            <w:r>
              <w:rPr>
                <w:rFonts w:ascii="Arial" w:hAnsi="Arial" w:cs="Arial"/>
                <w:b/>
                <w:sz w:val="18"/>
                <w:szCs w:val="18"/>
              </w:rPr>
              <w:t xml:space="preserve">CAPACIDAD DE LA UNIDAD DIDÁCTICA I: </w:t>
            </w:r>
            <w:r>
              <w:rPr>
                <w:rFonts w:ascii="Arial" w:hAnsi="Arial" w:cs="Arial"/>
                <w:bCs/>
                <w:sz w:val="18"/>
                <w:szCs w:val="18"/>
              </w:rPr>
              <w:t>Comprender y explicar el concepto y los alcances de los Tratados de Libre Comercio (TLC) desd</w:t>
            </w:r>
            <w:r>
              <w:rPr>
                <w:rFonts w:ascii="Arial" w:hAnsi="Arial" w:cs="Arial"/>
                <w:bCs/>
                <w:sz w:val="18"/>
                <w:szCs w:val="18"/>
              </w:rPr>
              <w:t xml:space="preserve">e una perspectiva jurídica y económica. Analizar el régimen tributario aplicable a los no domiciliados en Perú, específicamente el Impuesto a la Renta, y los criterios de vinculación de sus rentas con fuentes peruanas. Evaluar casos prácticos para aplicar </w:t>
            </w:r>
            <w:r>
              <w:rPr>
                <w:rFonts w:ascii="Arial" w:hAnsi="Arial" w:cs="Arial"/>
                <w:bCs/>
                <w:sz w:val="18"/>
                <w:szCs w:val="18"/>
              </w:rPr>
              <w:t>los criterios de vinculación con las rentas de fuente peruana en el contexto de los TLC.</w:t>
            </w:r>
          </w:p>
        </w:tc>
      </w:tr>
      <w:tr w:rsidR="001302D7">
        <w:trPr>
          <w:trHeight w:val="513"/>
        </w:trPr>
        <w:tc>
          <w:tcPr>
            <w:tcW w:w="898" w:type="dxa"/>
            <w:vMerge/>
            <w:tcBorders>
              <w:top w:val="nil"/>
            </w:tcBorders>
            <w:textDirection w:val="btLr"/>
          </w:tcPr>
          <w:p w:rsidR="001302D7" w:rsidRDefault="001302D7">
            <w:pPr>
              <w:rPr>
                <w:sz w:val="18"/>
                <w:szCs w:val="18"/>
              </w:rPr>
            </w:pPr>
          </w:p>
        </w:tc>
        <w:tc>
          <w:tcPr>
            <w:tcW w:w="888" w:type="dxa"/>
            <w:vMerge w:val="restart"/>
            <w:tcBorders>
              <w:top w:val="single" w:sz="4" w:space="0" w:color="auto"/>
            </w:tcBorders>
            <w:shd w:val="clear" w:color="auto" w:fill="DAEDF3"/>
          </w:tcPr>
          <w:p w:rsidR="001302D7" w:rsidRDefault="001302D7">
            <w:pPr>
              <w:pStyle w:val="TableParagraph"/>
              <w:spacing w:before="5"/>
              <w:rPr>
                <w:rFonts w:ascii="Arial" w:hAnsi="Arial" w:cs="Arial"/>
                <w:b/>
                <w:sz w:val="18"/>
                <w:szCs w:val="18"/>
              </w:rPr>
            </w:pPr>
          </w:p>
          <w:p w:rsidR="001302D7" w:rsidRDefault="0046548E">
            <w:pPr>
              <w:pStyle w:val="TableParagraph"/>
              <w:ind w:left="62"/>
              <w:rPr>
                <w:rFonts w:ascii="Arial" w:hAnsi="Arial" w:cs="Arial"/>
                <w:b/>
                <w:sz w:val="18"/>
                <w:szCs w:val="18"/>
              </w:rPr>
            </w:pPr>
            <w:r>
              <w:rPr>
                <w:rFonts w:ascii="Arial" w:hAnsi="Arial" w:cs="Arial"/>
                <w:b/>
                <w:sz w:val="18"/>
                <w:szCs w:val="18"/>
              </w:rPr>
              <w:t>Semana</w:t>
            </w:r>
          </w:p>
        </w:tc>
        <w:tc>
          <w:tcPr>
            <w:tcW w:w="7848" w:type="dxa"/>
            <w:gridSpan w:val="4"/>
            <w:tcBorders>
              <w:top w:val="single" w:sz="4" w:space="0" w:color="auto"/>
            </w:tcBorders>
            <w:shd w:val="clear" w:color="auto" w:fill="DAEDF3"/>
          </w:tcPr>
          <w:p w:rsidR="001302D7" w:rsidRDefault="0046548E">
            <w:pPr>
              <w:pStyle w:val="TableParagraph"/>
              <w:spacing w:before="30"/>
              <w:ind w:left="3489" w:right="3177"/>
              <w:jc w:val="center"/>
              <w:rPr>
                <w:rFonts w:ascii="Arial" w:hAnsi="Arial" w:cs="Arial"/>
                <w:b/>
                <w:sz w:val="18"/>
                <w:szCs w:val="18"/>
              </w:rPr>
            </w:pPr>
            <w:r>
              <w:rPr>
                <w:rFonts w:ascii="Arial" w:hAnsi="Arial" w:cs="Arial"/>
                <w:b/>
                <w:sz w:val="18"/>
                <w:szCs w:val="18"/>
              </w:rPr>
              <w:t>Contenidos</w:t>
            </w:r>
          </w:p>
        </w:tc>
        <w:tc>
          <w:tcPr>
            <w:tcW w:w="2557" w:type="dxa"/>
            <w:gridSpan w:val="2"/>
            <w:vMerge w:val="restart"/>
            <w:tcBorders>
              <w:top w:val="single" w:sz="4" w:space="0" w:color="auto"/>
            </w:tcBorders>
            <w:shd w:val="clear" w:color="auto" w:fill="DAEDF3"/>
          </w:tcPr>
          <w:p w:rsidR="001302D7" w:rsidRDefault="0046548E">
            <w:pPr>
              <w:pStyle w:val="TableParagraph"/>
              <w:spacing w:before="93" w:line="278" w:lineRule="auto"/>
              <w:ind w:left="362" w:right="407" w:firstLine="9"/>
              <w:jc w:val="center"/>
              <w:rPr>
                <w:rFonts w:ascii="Arial" w:hAnsi="Arial" w:cs="Arial"/>
                <w:b/>
                <w:sz w:val="18"/>
                <w:szCs w:val="18"/>
              </w:rPr>
            </w:pPr>
            <w:r>
              <w:rPr>
                <w:rFonts w:ascii="Arial" w:hAnsi="Arial" w:cs="Arial"/>
                <w:b/>
                <w:sz w:val="18"/>
                <w:szCs w:val="18"/>
              </w:rPr>
              <w:t>Estrategias didácticas</w:t>
            </w:r>
          </w:p>
        </w:tc>
        <w:tc>
          <w:tcPr>
            <w:tcW w:w="3203" w:type="dxa"/>
            <w:vMerge w:val="restart"/>
            <w:tcBorders>
              <w:top w:val="single" w:sz="4" w:space="0" w:color="auto"/>
            </w:tcBorders>
            <w:shd w:val="clear" w:color="auto" w:fill="DAEDF3"/>
          </w:tcPr>
          <w:p w:rsidR="001302D7" w:rsidRDefault="0046548E">
            <w:pPr>
              <w:pStyle w:val="TableParagraph"/>
              <w:spacing w:before="93" w:line="278" w:lineRule="auto"/>
              <w:ind w:left="1098" w:right="289" w:hanging="783"/>
              <w:rPr>
                <w:rFonts w:ascii="Arial" w:hAnsi="Arial" w:cs="Arial"/>
                <w:b/>
                <w:sz w:val="18"/>
                <w:szCs w:val="18"/>
              </w:rPr>
            </w:pPr>
            <w:r>
              <w:rPr>
                <w:rFonts w:ascii="Arial" w:hAnsi="Arial" w:cs="Arial"/>
                <w:b/>
                <w:sz w:val="18"/>
                <w:szCs w:val="18"/>
              </w:rPr>
              <w:t>Indicadores de logro de la capacidad</w:t>
            </w:r>
          </w:p>
        </w:tc>
      </w:tr>
      <w:tr w:rsidR="001302D7">
        <w:trPr>
          <w:trHeight w:val="456"/>
        </w:trPr>
        <w:tc>
          <w:tcPr>
            <w:tcW w:w="898" w:type="dxa"/>
            <w:vMerge/>
            <w:tcBorders>
              <w:top w:val="nil"/>
            </w:tcBorders>
            <w:textDirection w:val="btLr"/>
          </w:tcPr>
          <w:p w:rsidR="001302D7" w:rsidRDefault="001302D7">
            <w:pPr>
              <w:rPr>
                <w:sz w:val="18"/>
                <w:szCs w:val="18"/>
              </w:rPr>
            </w:pPr>
          </w:p>
        </w:tc>
        <w:tc>
          <w:tcPr>
            <w:tcW w:w="888" w:type="dxa"/>
            <w:vMerge/>
            <w:tcBorders>
              <w:top w:val="nil"/>
            </w:tcBorders>
            <w:shd w:val="clear" w:color="auto" w:fill="DAEDF3"/>
          </w:tcPr>
          <w:p w:rsidR="001302D7" w:rsidRDefault="001302D7">
            <w:pPr>
              <w:rPr>
                <w:sz w:val="18"/>
                <w:szCs w:val="18"/>
              </w:rPr>
            </w:pPr>
          </w:p>
        </w:tc>
        <w:tc>
          <w:tcPr>
            <w:tcW w:w="2602" w:type="dxa"/>
            <w:shd w:val="clear" w:color="auto" w:fill="DAEDF3"/>
          </w:tcPr>
          <w:p w:rsidR="001302D7" w:rsidRDefault="0046548E">
            <w:pPr>
              <w:pStyle w:val="TableParagraph"/>
              <w:spacing w:before="2"/>
              <w:ind w:left="701"/>
              <w:rPr>
                <w:rFonts w:ascii="Arial" w:hAnsi="Arial" w:cs="Arial"/>
                <w:b/>
                <w:sz w:val="18"/>
                <w:szCs w:val="18"/>
              </w:rPr>
            </w:pPr>
            <w:r>
              <w:rPr>
                <w:rFonts w:ascii="Arial" w:hAnsi="Arial" w:cs="Arial"/>
                <w:b/>
                <w:sz w:val="18"/>
                <w:szCs w:val="18"/>
              </w:rPr>
              <w:t>Conceptual</w:t>
            </w:r>
          </w:p>
        </w:tc>
        <w:tc>
          <w:tcPr>
            <w:tcW w:w="2838" w:type="dxa"/>
            <w:gridSpan w:val="2"/>
            <w:shd w:val="clear" w:color="auto" w:fill="DAEDF3"/>
          </w:tcPr>
          <w:p w:rsidR="001302D7" w:rsidRDefault="0046548E">
            <w:pPr>
              <w:pStyle w:val="TableParagraph"/>
              <w:spacing w:before="2"/>
              <w:ind w:left="691"/>
              <w:rPr>
                <w:rFonts w:ascii="Arial" w:hAnsi="Arial" w:cs="Arial"/>
                <w:b/>
                <w:sz w:val="18"/>
                <w:szCs w:val="18"/>
              </w:rPr>
            </w:pPr>
            <w:r>
              <w:rPr>
                <w:rFonts w:ascii="Arial" w:hAnsi="Arial" w:cs="Arial"/>
                <w:b/>
                <w:sz w:val="18"/>
                <w:szCs w:val="18"/>
              </w:rPr>
              <w:t>Procedimental</w:t>
            </w:r>
          </w:p>
        </w:tc>
        <w:tc>
          <w:tcPr>
            <w:tcW w:w="2408" w:type="dxa"/>
            <w:shd w:val="clear" w:color="auto" w:fill="DAEDF3"/>
          </w:tcPr>
          <w:p w:rsidR="001302D7" w:rsidRDefault="0046548E">
            <w:pPr>
              <w:pStyle w:val="TableParagraph"/>
              <w:spacing w:before="2"/>
              <w:ind w:left="619"/>
              <w:rPr>
                <w:rFonts w:ascii="Arial" w:hAnsi="Arial" w:cs="Arial"/>
                <w:b/>
                <w:sz w:val="18"/>
                <w:szCs w:val="18"/>
              </w:rPr>
            </w:pPr>
            <w:r>
              <w:rPr>
                <w:rFonts w:ascii="Arial" w:hAnsi="Arial" w:cs="Arial"/>
                <w:b/>
                <w:sz w:val="18"/>
                <w:szCs w:val="18"/>
              </w:rPr>
              <w:t>Actitudinal</w:t>
            </w:r>
          </w:p>
        </w:tc>
        <w:tc>
          <w:tcPr>
            <w:tcW w:w="2557" w:type="dxa"/>
            <w:gridSpan w:val="2"/>
            <w:vMerge/>
            <w:tcBorders>
              <w:top w:val="nil"/>
            </w:tcBorders>
            <w:shd w:val="clear" w:color="auto" w:fill="DAEDF3"/>
          </w:tcPr>
          <w:p w:rsidR="001302D7" w:rsidRDefault="001302D7">
            <w:pPr>
              <w:rPr>
                <w:sz w:val="18"/>
                <w:szCs w:val="18"/>
              </w:rPr>
            </w:pPr>
          </w:p>
        </w:tc>
        <w:tc>
          <w:tcPr>
            <w:tcW w:w="3203" w:type="dxa"/>
            <w:vMerge/>
            <w:tcBorders>
              <w:top w:val="nil"/>
            </w:tcBorders>
            <w:shd w:val="clear" w:color="auto" w:fill="DAEDF3"/>
          </w:tcPr>
          <w:p w:rsidR="001302D7" w:rsidRDefault="001302D7">
            <w:pPr>
              <w:rPr>
                <w:sz w:val="18"/>
                <w:szCs w:val="18"/>
              </w:rPr>
            </w:pPr>
          </w:p>
        </w:tc>
      </w:tr>
      <w:tr w:rsidR="001302D7">
        <w:trPr>
          <w:trHeight w:val="1849"/>
        </w:trPr>
        <w:tc>
          <w:tcPr>
            <w:tcW w:w="898" w:type="dxa"/>
            <w:vMerge/>
            <w:tcBorders>
              <w:top w:val="nil"/>
            </w:tcBorders>
            <w:textDirection w:val="btLr"/>
          </w:tcPr>
          <w:p w:rsidR="001302D7" w:rsidRDefault="001302D7">
            <w:pPr>
              <w:rPr>
                <w:sz w:val="18"/>
                <w:szCs w:val="18"/>
              </w:rPr>
            </w:pPr>
          </w:p>
        </w:tc>
        <w:tc>
          <w:tcPr>
            <w:tcW w:w="888" w:type="dxa"/>
            <w:tcBorders>
              <w:bottom w:val="single" w:sz="4" w:space="0" w:color="auto"/>
            </w:tcBorders>
          </w:tcPr>
          <w:p w:rsidR="001302D7" w:rsidRDefault="001302D7">
            <w:pPr>
              <w:pStyle w:val="TableParagraph"/>
              <w:rPr>
                <w:rFonts w:ascii="Arial" w:hAnsi="Arial" w:cs="Arial"/>
                <w:b/>
                <w:sz w:val="20"/>
                <w:szCs w:val="20"/>
              </w:rPr>
            </w:pPr>
          </w:p>
          <w:p w:rsidR="001302D7" w:rsidRDefault="0046548E">
            <w:pPr>
              <w:pStyle w:val="TableParagraph"/>
              <w:spacing w:before="143"/>
              <w:ind w:right="370"/>
              <w:jc w:val="right"/>
              <w:rPr>
                <w:rFonts w:ascii="Arial" w:hAnsi="Arial" w:cs="Arial"/>
                <w:b/>
                <w:sz w:val="20"/>
                <w:szCs w:val="20"/>
              </w:rPr>
            </w:pPr>
            <w:r>
              <w:rPr>
                <w:rFonts w:ascii="Arial" w:hAnsi="Arial" w:cs="Arial"/>
                <w:b/>
                <w:sz w:val="20"/>
                <w:szCs w:val="20"/>
              </w:rPr>
              <w:t>1</w:t>
            </w:r>
          </w:p>
        </w:tc>
        <w:tc>
          <w:tcPr>
            <w:tcW w:w="2602" w:type="dxa"/>
            <w:tcBorders>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La Convención de Viena sobre el Derecho</w:t>
            </w:r>
            <w:r>
              <w:rPr>
                <w:rFonts w:ascii="Arial" w:hAnsi="Arial" w:cs="Arial"/>
                <w:color w:val="000000"/>
                <w:sz w:val="18"/>
                <w:szCs w:val="18"/>
              </w:rPr>
              <w:t xml:space="preserve"> de los Tratados (1969). Conceptos básicos y terminología en tratados internacionales.</w:t>
            </w:r>
          </w:p>
        </w:tc>
        <w:tc>
          <w:tcPr>
            <w:tcW w:w="2838" w:type="dxa"/>
            <w:gridSpan w:val="2"/>
            <w:tcBorders>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Elabora esquemas y resúmenes sobre los principios de la Convención de Viena y jerarquía normativa. Inicia investigación de la Convención de Viena y tratados del Perú.</w:t>
            </w:r>
          </w:p>
        </w:tc>
        <w:tc>
          <w:tcPr>
            <w:tcW w:w="2408" w:type="dxa"/>
            <w:tcBorders>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Pa</w:t>
            </w:r>
            <w:r>
              <w:rPr>
                <w:rFonts w:ascii="Arial" w:hAnsi="Arial" w:cs="Arial"/>
                <w:color w:val="000000"/>
                <w:sz w:val="18"/>
                <w:szCs w:val="18"/>
              </w:rPr>
              <w:t>rticipa activamente respetando opiniones y valorando la importancia del derecho internacional.</w:t>
            </w:r>
          </w:p>
        </w:tc>
        <w:tc>
          <w:tcPr>
            <w:tcW w:w="2557" w:type="dxa"/>
            <w:gridSpan w:val="2"/>
            <w:tcBorders>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Exposición dialogada, análisis de documentos jurídicos y uso de portal Mincetur.</w:t>
            </w:r>
          </w:p>
        </w:tc>
        <w:tc>
          <w:tcPr>
            <w:tcW w:w="3203" w:type="dxa"/>
            <w:tcBorders>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Explica los principios fundamentales de la Convención de Viena e identifica la j</w:t>
            </w:r>
            <w:r>
              <w:rPr>
                <w:rFonts w:ascii="Arial" w:hAnsi="Arial" w:cs="Arial"/>
                <w:color w:val="000000"/>
                <w:sz w:val="18"/>
                <w:szCs w:val="18"/>
              </w:rPr>
              <w:t>erarquía de tratados.</w:t>
            </w:r>
          </w:p>
        </w:tc>
      </w:tr>
      <w:tr w:rsidR="001302D7">
        <w:trPr>
          <w:trHeight w:val="1132"/>
        </w:trPr>
        <w:tc>
          <w:tcPr>
            <w:tcW w:w="898" w:type="dxa"/>
            <w:vMerge/>
            <w:tcBorders>
              <w:top w:val="nil"/>
            </w:tcBorders>
            <w:textDirection w:val="btLr"/>
          </w:tcPr>
          <w:p w:rsidR="001302D7" w:rsidRDefault="001302D7">
            <w:pPr>
              <w:rPr>
                <w:sz w:val="18"/>
                <w:szCs w:val="18"/>
              </w:rPr>
            </w:pPr>
          </w:p>
        </w:tc>
        <w:tc>
          <w:tcPr>
            <w:tcW w:w="888" w:type="dxa"/>
            <w:tcBorders>
              <w:top w:val="single" w:sz="4" w:space="0" w:color="auto"/>
              <w:bottom w:val="single" w:sz="4" w:space="0" w:color="auto"/>
            </w:tcBorders>
          </w:tcPr>
          <w:p w:rsidR="001302D7" w:rsidRDefault="001302D7">
            <w:pPr>
              <w:pStyle w:val="TableParagraph"/>
              <w:rPr>
                <w:rFonts w:ascii="Arial" w:hAnsi="Arial" w:cs="Arial"/>
                <w:b/>
                <w:sz w:val="20"/>
                <w:szCs w:val="20"/>
              </w:rPr>
            </w:pPr>
          </w:p>
          <w:p w:rsidR="001302D7" w:rsidRDefault="0046548E">
            <w:pPr>
              <w:pStyle w:val="TableParagraph"/>
              <w:spacing w:before="143"/>
              <w:ind w:right="370"/>
              <w:jc w:val="right"/>
              <w:rPr>
                <w:rFonts w:ascii="Arial" w:hAnsi="Arial" w:cs="Arial"/>
                <w:b/>
                <w:sz w:val="20"/>
                <w:szCs w:val="20"/>
              </w:rPr>
            </w:pPr>
            <w:r>
              <w:rPr>
                <w:rFonts w:ascii="Arial" w:hAnsi="Arial" w:cs="Arial"/>
                <w:b/>
                <w:sz w:val="20"/>
                <w:szCs w:val="20"/>
              </w:rPr>
              <w:t>2</w:t>
            </w:r>
          </w:p>
        </w:tc>
        <w:tc>
          <w:tcPr>
            <w:tcW w:w="2602" w:type="dxa"/>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lang w:val="es-PE"/>
              </w:rPr>
            </w:pPr>
            <w:r>
              <w:rPr>
                <w:rFonts w:ascii="Arial" w:hAnsi="Arial" w:cs="Arial"/>
                <w:color w:val="000000"/>
                <w:sz w:val="18"/>
                <w:szCs w:val="18"/>
              </w:rPr>
              <w:t>Contrato de compraventa internacional (CISG). Obligaciones del comprador y vendedor en operaciones internacionales.</w:t>
            </w:r>
          </w:p>
        </w:tc>
        <w:tc>
          <w:tcPr>
            <w:tcW w:w="2838" w:type="dxa"/>
            <w:gridSpan w:val="2"/>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Redacta y analiza cláusulas en casos prácticos de contratos de compraventa internacional.</w:t>
            </w:r>
          </w:p>
        </w:tc>
        <w:tc>
          <w:tcPr>
            <w:tcW w:w="2408" w:type="dxa"/>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 xml:space="preserve">Valora la importancia </w:t>
            </w:r>
            <w:r>
              <w:rPr>
                <w:rFonts w:ascii="Arial" w:hAnsi="Arial" w:cs="Arial"/>
                <w:color w:val="000000"/>
                <w:sz w:val="18"/>
                <w:szCs w:val="18"/>
              </w:rPr>
              <w:t>del cumplimiento contractual en negocios internacionales.</w:t>
            </w:r>
          </w:p>
        </w:tc>
        <w:tc>
          <w:tcPr>
            <w:tcW w:w="2557" w:type="dxa"/>
            <w:gridSpan w:val="2"/>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lang w:val="es-PE"/>
              </w:rPr>
            </w:pPr>
            <w:r>
              <w:rPr>
                <w:rFonts w:ascii="Arial" w:hAnsi="Arial" w:cs="Arial"/>
                <w:color w:val="000000"/>
                <w:sz w:val="18"/>
                <w:szCs w:val="18"/>
              </w:rPr>
              <w:t>Aprendizaje basado en casos, debate dirigido y uso de plantillas</w:t>
            </w:r>
            <w:r>
              <w:rPr>
                <w:rFonts w:ascii="Arial" w:hAnsi="Arial" w:cs="Arial"/>
                <w:color w:val="000000"/>
                <w:sz w:val="18"/>
                <w:szCs w:val="18"/>
                <w:lang w:val="es-PE"/>
              </w:rPr>
              <w:t xml:space="preserve">. </w:t>
            </w:r>
          </w:p>
        </w:tc>
        <w:tc>
          <w:tcPr>
            <w:tcW w:w="3203" w:type="dxa"/>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Identifica las obligaciones contractuales aplicando ejemplos reales y determina el marco contractual.</w:t>
            </w:r>
          </w:p>
        </w:tc>
      </w:tr>
      <w:tr w:rsidR="001302D7">
        <w:trPr>
          <w:trHeight w:val="996"/>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Arial" w:hAnsi="Arial" w:cs="Arial"/>
                <w:b/>
                <w:sz w:val="20"/>
                <w:szCs w:val="20"/>
              </w:rPr>
            </w:pPr>
          </w:p>
          <w:p w:rsidR="001302D7" w:rsidRDefault="0046548E">
            <w:pPr>
              <w:pStyle w:val="TableParagraph"/>
              <w:spacing w:before="148"/>
              <w:ind w:right="370"/>
              <w:jc w:val="right"/>
              <w:rPr>
                <w:rFonts w:ascii="Arial" w:hAnsi="Arial" w:cs="Arial"/>
                <w:b/>
                <w:sz w:val="20"/>
                <w:szCs w:val="20"/>
              </w:rPr>
            </w:pPr>
            <w:r>
              <w:rPr>
                <w:rFonts w:ascii="Arial" w:hAnsi="Arial" w:cs="Arial"/>
                <w:b/>
                <w:sz w:val="20"/>
                <w:szCs w:val="20"/>
              </w:rPr>
              <w:t>3</w:t>
            </w:r>
          </w:p>
        </w:tc>
        <w:tc>
          <w:tcPr>
            <w:tcW w:w="2602" w:type="dxa"/>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 xml:space="preserve">Incoterms® 2020 y </w:t>
            </w:r>
            <w:r>
              <w:rPr>
                <w:rFonts w:ascii="Arial" w:hAnsi="Arial" w:cs="Arial"/>
                <w:color w:val="000000"/>
                <w:sz w:val="18"/>
                <w:szCs w:val="18"/>
              </w:rPr>
              <w:t>simulación tributaria aduanera. Medidas arancelarias, salvaguardias y derechos Anti-Dumping.</w:t>
            </w:r>
          </w:p>
        </w:tc>
        <w:tc>
          <w:tcPr>
            <w:tcW w:w="2838" w:type="dxa"/>
            <w:gridSpan w:val="2"/>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Elabora cuadros comparativos y resuelve ejercicios de liquidación aduanera y cálculo Anti-Dumping.</w:t>
            </w:r>
          </w:p>
        </w:tc>
        <w:tc>
          <w:tcPr>
            <w:tcW w:w="2408" w:type="dxa"/>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 xml:space="preserve">Reconoce la importancia de la correcta elección del Incoterm® y </w:t>
            </w:r>
            <w:r>
              <w:rPr>
                <w:rFonts w:ascii="Arial" w:hAnsi="Arial" w:cs="Arial"/>
                <w:color w:val="000000"/>
                <w:sz w:val="18"/>
                <w:szCs w:val="18"/>
              </w:rPr>
              <w:t>el cálculo correcto de tributos.</w:t>
            </w:r>
          </w:p>
        </w:tc>
        <w:tc>
          <w:tcPr>
            <w:tcW w:w="2557" w:type="dxa"/>
            <w:gridSpan w:val="2"/>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Resolución de casos, talleres de simulación tributaria con Calculadora SUNAT e Indecopi.</w:t>
            </w:r>
          </w:p>
        </w:tc>
        <w:tc>
          <w:tcPr>
            <w:tcW w:w="3203" w:type="dxa"/>
            <w:tcBorders>
              <w:top w:val="single" w:sz="4" w:space="0" w:color="auto"/>
              <w:bottom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Aplica correctamente los Incoterms® 2020 y simula tributos aduaneros y medidas proteccionistas.</w:t>
            </w:r>
          </w:p>
        </w:tc>
      </w:tr>
      <w:tr w:rsidR="001302D7">
        <w:trPr>
          <w:trHeight w:val="1453"/>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Arial" w:hAnsi="Arial" w:cs="Arial"/>
                <w:b/>
                <w:sz w:val="20"/>
                <w:szCs w:val="20"/>
              </w:rPr>
            </w:pPr>
          </w:p>
          <w:p w:rsidR="001302D7" w:rsidRDefault="0046548E">
            <w:pPr>
              <w:pStyle w:val="TableParagraph"/>
              <w:spacing w:before="177"/>
              <w:ind w:right="370"/>
              <w:jc w:val="right"/>
              <w:rPr>
                <w:rFonts w:ascii="Arial" w:hAnsi="Arial" w:cs="Arial"/>
                <w:b/>
                <w:sz w:val="20"/>
                <w:szCs w:val="20"/>
              </w:rPr>
            </w:pPr>
            <w:r>
              <w:rPr>
                <w:rFonts w:ascii="Arial" w:hAnsi="Arial" w:cs="Arial"/>
                <w:b/>
                <w:sz w:val="20"/>
                <w:szCs w:val="20"/>
              </w:rPr>
              <w:t>4</w:t>
            </w:r>
          </w:p>
        </w:tc>
        <w:tc>
          <w:tcPr>
            <w:tcW w:w="2602" w:type="dxa"/>
            <w:tcBorders>
              <w:top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 xml:space="preserve">Acontecimientos actuales que </w:t>
            </w:r>
            <w:r>
              <w:rPr>
                <w:rFonts w:ascii="Arial" w:hAnsi="Arial" w:cs="Arial"/>
                <w:color w:val="000000"/>
                <w:sz w:val="18"/>
                <w:szCs w:val="18"/>
              </w:rPr>
              <w:t>influyen en el comercio internacional y peruano (geopolítica, inflación, logística).</w:t>
            </w:r>
          </w:p>
        </w:tc>
        <w:tc>
          <w:tcPr>
            <w:tcW w:w="2838" w:type="dxa"/>
            <w:gridSpan w:val="2"/>
            <w:tcBorders>
              <w:top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Analiza acontecimientos internacionales actuales y presenta la Monografía N° 1.</w:t>
            </w:r>
          </w:p>
        </w:tc>
        <w:tc>
          <w:tcPr>
            <w:tcW w:w="2408" w:type="dxa"/>
            <w:tcBorders>
              <w:top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Demuestra pensamiento crítico frente a los cambios y coyunturas del comercio global.</w:t>
            </w:r>
          </w:p>
        </w:tc>
        <w:tc>
          <w:tcPr>
            <w:tcW w:w="2557" w:type="dxa"/>
            <w:gridSpan w:val="2"/>
            <w:tcBorders>
              <w:top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Foro a</w:t>
            </w:r>
            <w:r>
              <w:rPr>
                <w:rFonts w:ascii="Arial" w:hAnsi="Arial" w:cs="Arial"/>
                <w:color w:val="000000"/>
                <w:sz w:val="18"/>
                <w:szCs w:val="18"/>
              </w:rPr>
              <w:t>cadémico, lluvia de ideas, Exposición Grupal y presentación de Monografía N° 1.</w:t>
            </w:r>
          </w:p>
        </w:tc>
        <w:tc>
          <w:tcPr>
            <w:tcW w:w="3203" w:type="dxa"/>
            <w:tcBorders>
              <w:top w:val="single" w:sz="4" w:space="0" w:color="auto"/>
            </w:tcBorders>
          </w:tcPr>
          <w:p w:rsidR="001302D7" w:rsidRDefault="0046548E">
            <w:pPr>
              <w:pStyle w:val="NormalWeb"/>
              <w:spacing w:before="80" w:beforeAutospacing="0" w:after="80" w:afterAutospacing="0"/>
              <w:ind w:leftChars="100" w:left="220" w:rightChars="78" w:right="172"/>
              <w:jc w:val="both"/>
              <w:rPr>
                <w:rFonts w:ascii="Arial" w:hAnsi="Arial" w:cs="Arial"/>
                <w:bCs/>
                <w:sz w:val="18"/>
                <w:szCs w:val="18"/>
              </w:rPr>
            </w:pPr>
            <w:r>
              <w:rPr>
                <w:rFonts w:ascii="Arial" w:hAnsi="Arial" w:cs="Arial"/>
                <w:color w:val="000000"/>
                <w:sz w:val="18"/>
                <w:szCs w:val="18"/>
              </w:rPr>
              <w:t>Analiza acontecimientos actuales que influyen en el comercio peruano y sustenta la Monografía N° 1.</w:t>
            </w:r>
          </w:p>
        </w:tc>
      </w:tr>
      <w:tr w:rsidR="001302D7">
        <w:trPr>
          <w:trHeight w:val="456"/>
        </w:trPr>
        <w:tc>
          <w:tcPr>
            <w:tcW w:w="898" w:type="dxa"/>
            <w:vMerge/>
            <w:tcBorders>
              <w:top w:val="nil"/>
            </w:tcBorders>
            <w:textDirection w:val="btLr"/>
          </w:tcPr>
          <w:p w:rsidR="001302D7" w:rsidRDefault="001302D7">
            <w:pPr>
              <w:rPr>
                <w:sz w:val="18"/>
                <w:szCs w:val="18"/>
              </w:rPr>
            </w:pPr>
          </w:p>
        </w:tc>
        <w:tc>
          <w:tcPr>
            <w:tcW w:w="888" w:type="dxa"/>
            <w:vMerge w:val="restart"/>
          </w:tcPr>
          <w:p w:rsidR="001302D7" w:rsidRDefault="001302D7">
            <w:pPr>
              <w:pStyle w:val="TableParagraph"/>
              <w:rPr>
                <w:rFonts w:ascii="Arial" w:hAnsi="Arial" w:cs="Arial"/>
                <w:sz w:val="18"/>
                <w:szCs w:val="18"/>
              </w:rPr>
            </w:pPr>
          </w:p>
        </w:tc>
        <w:tc>
          <w:tcPr>
            <w:tcW w:w="13608" w:type="dxa"/>
            <w:gridSpan w:val="7"/>
            <w:shd w:val="clear" w:color="auto" w:fill="DAEDF3"/>
          </w:tcPr>
          <w:p w:rsidR="001302D7" w:rsidRDefault="0046548E">
            <w:pPr>
              <w:pStyle w:val="TableParagraph"/>
              <w:spacing w:before="1"/>
              <w:ind w:left="4949" w:right="4636"/>
              <w:jc w:val="center"/>
              <w:rPr>
                <w:rFonts w:ascii="Arial" w:hAnsi="Arial" w:cs="Arial"/>
                <w:b/>
                <w:sz w:val="18"/>
                <w:szCs w:val="18"/>
              </w:rPr>
            </w:pPr>
            <w:r>
              <w:rPr>
                <w:rFonts w:ascii="Arial" w:hAnsi="Arial" w:cs="Arial"/>
                <w:b/>
                <w:sz w:val="18"/>
                <w:szCs w:val="18"/>
              </w:rPr>
              <w:t>EVALUACIÓN DE LA UNIDAD DIDÁCTICA</w:t>
            </w:r>
          </w:p>
        </w:tc>
      </w:tr>
      <w:tr w:rsidR="001302D7">
        <w:trPr>
          <w:trHeight w:val="455"/>
        </w:trPr>
        <w:tc>
          <w:tcPr>
            <w:tcW w:w="898" w:type="dxa"/>
            <w:vMerge/>
            <w:tcBorders>
              <w:top w:val="nil"/>
            </w:tcBorders>
            <w:textDirection w:val="btLr"/>
          </w:tcPr>
          <w:p w:rsidR="001302D7" w:rsidRDefault="001302D7">
            <w:pPr>
              <w:rPr>
                <w:sz w:val="18"/>
                <w:szCs w:val="18"/>
              </w:rPr>
            </w:pPr>
          </w:p>
        </w:tc>
        <w:tc>
          <w:tcPr>
            <w:tcW w:w="888" w:type="dxa"/>
            <w:vMerge/>
            <w:tcBorders>
              <w:top w:val="nil"/>
            </w:tcBorders>
          </w:tcPr>
          <w:p w:rsidR="001302D7" w:rsidRDefault="001302D7">
            <w:pPr>
              <w:rPr>
                <w:sz w:val="18"/>
                <w:szCs w:val="18"/>
              </w:rPr>
            </w:pPr>
          </w:p>
        </w:tc>
        <w:tc>
          <w:tcPr>
            <w:tcW w:w="3865" w:type="dxa"/>
            <w:gridSpan w:val="2"/>
            <w:shd w:val="clear" w:color="auto" w:fill="DAEDF3"/>
          </w:tcPr>
          <w:p w:rsidR="001302D7" w:rsidRDefault="0046548E">
            <w:pPr>
              <w:pStyle w:val="TableParagraph"/>
              <w:spacing w:before="1"/>
              <w:ind w:left="480"/>
              <w:rPr>
                <w:rFonts w:ascii="Arial" w:hAnsi="Arial" w:cs="Arial"/>
                <w:b/>
                <w:sz w:val="18"/>
                <w:szCs w:val="18"/>
              </w:rPr>
            </w:pPr>
            <w:r>
              <w:rPr>
                <w:rFonts w:ascii="Arial" w:hAnsi="Arial" w:cs="Arial"/>
                <w:b/>
                <w:sz w:val="18"/>
                <w:szCs w:val="18"/>
              </w:rPr>
              <w:t>EVIDENCIA DE CONOCIMIENTOS</w:t>
            </w:r>
          </w:p>
        </w:tc>
        <w:tc>
          <w:tcPr>
            <w:tcW w:w="4907" w:type="dxa"/>
            <w:gridSpan w:val="3"/>
            <w:shd w:val="clear" w:color="auto" w:fill="DAEDF3"/>
          </w:tcPr>
          <w:p w:rsidR="001302D7" w:rsidRDefault="0046548E">
            <w:pPr>
              <w:pStyle w:val="TableParagraph"/>
              <w:spacing w:before="1"/>
              <w:ind w:left="1306"/>
              <w:rPr>
                <w:rFonts w:ascii="Arial" w:hAnsi="Arial" w:cs="Arial"/>
                <w:b/>
                <w:sz w:val="18"/>
                <w:szCs w:val="18"/>
              </w:rPr>
            </w:pPr>
            <w:r>
              <w:rPr>
                <w:rFonts w:ascii="Arial" w:hAnsi="Arial" w:cs="Arial"/>
                <w:b/>
                <w:sz w:val="18"/>
                <w:szCs w:val="18"/>
              </w:rPr>
              <w:t>EVIDENCIA</w:t>
            </w:r>
            <w:r>
              <w:rPr>
                <w:rFonts w:ascii="Arial" w:hAnsi="Arial" w:cs="Arial"/>
                <w:b/>
                <w:sz w:val="18"/>
                <w:szCs w:val="18"/>
              </w:rPr>
              <w:t xml:space="preserve"> DE PRODUCTO</w:t>
            </w:r>
          </w:p>
        </w:tc>
        <w:tc>
          <w:tcPr>
            <w:tcW w:w="4836" w:type="dxa"/>
            <w:gridSpan w:val="2"/>
            <w:shd w:val="clear" w:color="auto" w:fill="DAEDF3"/>
          </w:tcPr>
          <w:p w:rsidR="001302D7" w:rsidRDefault="0046548E">
            <w:pPr>
              <w:pStyle w:val="TableParagraph"/>
              <w:spacing w:before="1"/>
              <w:ind w:left="1205"/>
              <w:rPr>
                <w:rFonts w:ascii="Arial" w:hAnsi="Arial" w:cs="Arial"/>
                <w:b/>
                <w:sz w:val="18"/>
                <w:szCs w:val="18"/>
              </w:rPr>
            </w:pPr>
            <w:r>
              <w:rPr>
                <w:rFonts w:ascii="Arial" w:hAnsi="Arial" w:cs="Arial"/>
                <w:b/>
                <w:sz w:val="18"/>
                <w:szCs w:val="18"/>
              </w:rPr>
              <w:t>EVIDENCIA DE DESEMPEÑO</w:t>
            </w:r>
          </w:p>
        </w:tc>
      </w:tr>
      <w:tr w:rsidR="001302D7">
        <w:trPr>
          <w:trHeight w:val="830"/>
        </w:trPr>
        <w:tc>
          <w:tcPr>
            <w:tcW w:w="898" w:type="dxa"/>
            <w:vMerge/>
            <w:tcBorders>
              <w:top w:val="nil"/>
            </w:tcBorders>
            <w:textDirection w:val="btLr"/>
          </w:tcPr>
          <w:p w:rsidR="001302D7" w:rsidRDefault="001302D7">
            <w:pPr>
              <w:rPr>
                <w:sz w:val="18"/>
                <w:szCs w:val="18"/>
              </w:rPr>
            </w:pPr>
          </w:p>
        </w:tc>
        <w:tc>
          <w:tcPr>
            <w:tcW w:w="888" w:type="dxa"/>
            <w:vMerge/>
            <w:tcBorders>
              <w:top w:val="nil"/>
            </w:tcBorders>
          </w:tcPr>
          <w:p w:rsidR="001302D7" w:rsidRDefault="001302D7">
            <w:pPr>
              <w:rPr>
                <w:sz w:val="18"/>
                <w:szCs w:val="18"/>
              </w:rPr>
            </w:pPr>
          </w:p>
        </w:tc>
        <w:tc>
          <w:tcPr>
            <w:tcW w:w="3865" w:type="dxa"/>
            <w:gridSpan w:val="2"/>
          </w:tcPr>
          <w:p w:rsidR="001302D7" w:rsidRDefault="0046548E">
            <w:pPr>
              <w:pStyle w:val="TableParagraph"/>
              <w:spacing w:before="5" w:line="276" w:lineRule="auto"/>
              <w:ind w:left="67" w:right="2170"/>
              <w:rPr>
                <w:rFonts w:ascii="Arial" w:hAnsi="Arial" w:cs="Arial"/>
                <w:sz w:val="18"/>
                <w:szCs w:val="18"/>
              </w:rPr>
            </w:pPr>
            <w:r>
              <w:rPr>
                <w:rFonts w:ascii="Arial" w:hAnsi="Arial" w:cs="Arial"/>
                <w:sz w:val="18"/>
                <w:szCs w:val="18"/>
              </w:rPr>
              <w:t>Cuestionarios</w:t>
            </w:r>
          </w:p>
          <w:p w:rsidR="001302D7" w:rsidRDefault="0046548E">
            <w:pPr>
              <w:pStyle w:val="TableParagraph"/>
              <w:spacing w:before="5" w:line="276" w:lineRule="auto"/>
              <w:ind w:left="67" w:right="2170"/>
              <w:rPr>
                <w:rFonts w:ascii="Arial" w:hAnsi="Arial" w:cs="Arial"/>
                <w:sz w:val="18"/>
                <w:szCs w:val="18"/>
              </w:rPr>
            </w:pPr>
            <w:r>
              <w:rPr>
                <w:rFonts w:ascii="Arial" w:hAnsi="Arial" w:cs="Arial"/>
                <w:sz w:val="18"/>
                <w:szCs w:val="18"/>
              </w:rPr>
              <w:t>Análisis de casos</w:t>
            </w:r>
          </w:p>
        </w:tc>
        <w:tc>
          <w:tcPr>
            <w:tcW w:w="4907" w:type="dxa"/>
            <w:gridSpan w:val="3"/>
          </w:tcPr>
          <w:p w:rsidR="001302D7" w:rsidRDefault="0046548E">
            <w:pPr>
              <w:pStyle w:val="TableParagraph"/>
              <w:spacing w:before="5"/>
              <w:ind w:left="67" w:right="170"/>
              <w:rPr>
                <w:rFonts w:ascii="Arial" w:hAnsi="Arial" w:cs="Arial"/>
                <w:sz w:val="18"/>
                <w:szCs w:val="18"/>
              </w:rPr>
            </w:pPr>
            <w:r>
              <w:rPr>
                <w:rFonts w:ascii="Arial" w:hAnsi="Arial" w:cs="Arial"/>
                <w:sz w:val="18"/>
                <w:szCs w:val="18"/>
              </w:rPr>
              <w:t>Exposición grupal sobre temas actuales del comercio internacional</w:t>
            </w:r>
          </w:p>
          <w:p w:rsidR="001302D7" w:rsidRDefault="0046548E">
            <w:pPr>
              <w:pStyle w:val="TableParagraph"/>
              <w:spacing w:line="254" w:lineRule="exact"/>
              <w:ind w:left="67" w:right="170"/>
              <w:rPr>
                <w:rFonts w:ascii="Arial" w:hAnsi="Arial" w:cs="Arial"/>
                <w:sz w:val="18"/>
                <w:szCs w:val="18"/>
              </w:rPr>
            </w:pPr>
            <w:r>
              <w:rPr>
                <w:rFonts w:ascii="Arial" w:hAnsi="Arial" w:cs="Arial"/>
                <w:sz w:val="18"/>
                <w:szCs w:val="18"/>
              </w:rPr>
              <w:t>Informe de análisis</w:t>
            </w:r>
          </w:p>
        </w:tc>
        <w:tc>
          <w:tcPr>
            <w:tcW w:w="4836" w:type="dxa"/>
            <w:gridSpan w:val="2"/>
          </w:tcPr>
          <w:p w:rsidR="001302D7" w:rsidRDefault="0046548E">
            <w:pPr>
              <w:pStyle w:val="TableParagraph"/>
              <w:spacing w:before="5"/>
              <w:ind w:left="72"/>
              <w:rPr>
                <w:rFonts w:ascii="Arial" w:hAnsi="Arial" w:cs="Arial"/>
                <w:sz w:val="18"/>
                <w:szCs w:val="18"/>
              </w:rPr>
            </w:pPr>
            <w:r>
              <w:rPr>
                <w:rFonts w:ascii="Arial" w:hAnsi="Arial" w:cs="Arial"/>
                <w:sz w:val="18"/>
                <w:szCs w:val="18"/>
              </w:rPr>
              <w:t>Participación en debates</w:t>
            </w:r>
          </w:p>
          <w:p w:rsidR="001302D7" w:rsidRDefault="0046548E">
            <w:pPr>
              <w:pStyle w:val="TableParagraph"/>
              <w:spacing w:before="5"/>
              <w:ind w:left="72"/>
              <w:rPr>
                <w:rFonts w:ascii="Arial" w:hAnsi="Arial" w:cs="Arial"/>
                <w:sz w:val="18"/>
                <w:szCs w:val="18"/>
              </w:rPr>
            </w:pPr>
            <w:r>
              <w:rPr>
                <w:rFonts w:ascii="Arial" w:hAnsi="Arial" w:cs="Arial"/>
                <w:sz w:val="18"/>
                <w:szCs w:val="18"/>
              </w:rPr>
              <w:t>Resolución de ejercicios</w:t>
            </w:r>
          </w:p>
        </w:tc>
      </w:tr>
    </w:tbl>
    <w:p w:rsidR="001302D7" w:rsidRDefault="001302D7">
      <w:pPr>
        <w:rPr>
          <w:sz w:val="24"/>
        </w:rPr>
        <w:sectPr w:rsidR="001302D7">
          <w:pgSz w:w="16840" w:h="11910" w:orient="landscape"/>
          <w:pgMar w:top="840" w:right="600" w:bottom="280" w:left="620" w:header="720" w:footer="720" w:gutter="0"/>
          <w:cols w:space="720"/>
        </w:sectPr>
      </w:pPr>
    </w:p>
    <w:p w:rsidR="001302D7" w:rsidRDefault="001302D7">
      <w:pPr>
        <w:pStyle w:val="Textoindependiente"/>
        <w:spacing w:before="8"/>
        <w:rPr>
          <w:rFonts w:ascii="Caladea"/>
          <w:b/>
          <w:sz w:val="3"/>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8"/>
        <w:gridCol w:w="888"/>
        <w:gridCol w:w="3005"/>
        <w:gridCol w:w="859"/>
        <w:gridCol w:w="1867"/>
        <w:gridCol w:w="2829"/>
        <w:gridCol w:w="208"/>
        <w:gridCol w:w="2170"/>
        <w:gridCol w:w="2664"/>
      </w:tblGrid>
      <w:tr w:rsidR="001302D7">
        <w:trPr>
          <w:trHeight w:val="734"/>
        </w:trPr>
        <w:tc>
          <w:tcPr>
            <w:tcW w:w="898" w:type="dxa"/>
            <w:vMerge w:val="restart"/>
            <w:textDirection w:val="btLr"/>
            <w:vAlign w:val="center"/>
          </w:tcPr>
          <w:p w:rsidR="001302D7" w:rsidRDefault="0046548E">
            <w:pPr>
              <w:pStyle w:val="TableParagraph"/>
              <w:spacing w:before="218"/>
              <w:ind w:left="485"/>
              <w:jc w:val="center"/>
              <w:rPr>
                <w:b/>
                <w:i/>
                <w:sz w:val="18"/>
                <w:szCs w:val="18"/>
              </w:rPr>
            </w:pPr>
            <w:r>
              <w:rPr>
                <w:rFonts w:ascii="Carlito" w:hAnsi="Carlito"/>
                <w:b/>
                <w:sz w:val="18"/>
                <w:szCs w:val="18"/>
              </w:rPr>
              <w:t xml:space="preserve">Unidad Didáctica II: Marco </w:t>
            </w:r>
            <w:r>
              <w:rPr>
                <w:rFonts w:ascii="Carlito" w:hAnsi="Carlito"/>
                <w:b/>
                <w:sz w:val="18"/>
                <w:szCs w:val="18"/>
              </w:rPr>
              <w:t>legal de los tratados internacionales a los que se refieren los artículos Nºs. 55 al 57 de la LIR. Su clasificación como fuentes del derecho tributario. Los conceptos de vinculación con sujetos no domiciliados según la LIR.</w:t>
            </w:r>
          </w:p>
        </w:tc>
        <w:tc>
          <w:tcPr>
            <w:tcW w:w="14490" w:type="dxa"/>
            <w:gridSpan w:val="8"/>
          </w:tcPr>
          <w:p w:rsidR="001302D7" w:rsidRDefault="0046548E">
            <w:pPr>
              <w:pStyle w:val="TableParagraph"/>
              <w:spacing w:before="19"/>
              <w:ind w:left="62"/>
              <w:rPr>
                <w:rFonts w:ascii="Arial" w:hAnsi="Arial" w:cs="Arial"/>
                <w:sz w:val="20"/>
                <w:szCs w:val="20"/>
              </w:rPr>
            </w:pPr>
            <w:r>
              <w:rPr>
                <w:rFonts w:ascii="Arial" w:hAnsi="Arial" w:cs="Arial"/>
                <w:b/>
                <w:sz w:val="20"/>
                <w:szCs w:val="20"/>
              </w:rPr>
              <w:t>CAPACIDAD DE LA UNIDAD DIDÁCTICA</w:t>
            </w:r>
            <w:r>
              <w:rPr>
                <w:rFonts w:ascii="Arial" w:hAnsi="Arial" w:cs="Arial"/>
                <w:b/>
                <w:sz w:val="20"/>
                <w:szCs w:val="20"/>
              </w:rPr>
              <w:t xml:space="preserve"> II: </w:t>
            </w:r>
            <w:r>
              <w:rPr>
                <w:rFonts w:ascii="Arial" w:hAnsi="Arial" w:cs="Arial"/>
                <w:sz w:val="20"/>
                <w:szCs w:val="20"/>
              </w:rPr>
              <w:t>Identificar y analizar el marco legal de los tratados internacionales referidos en los artículos 55 al 57 de la Ley del Impuesto a la Renta (LIR) del Perú. Clasificar los tratados internacionales como fuentes del derecho tributario y explicar su jerar</w:t>
            </w:r>
            <w:r>
              <w:rPr>
                <w:rFonts w:ascii="Arial" w:hAnsi="Arial" w:cs="Arial"/>
                <w:sz w:val="20"/>
                <w:szCs w:val="20"/>
              </w:rPr>
              <w:t>quía normativa en relación con la legislación nacional.</w:t>
            </w:r>
          </w:p>
        </w:tc>
      </w:tr>
      <w:tr w:rsidR="001302D7">
        <w:trPr>
          <w:trHeight w:val="513"/>
        </w:trPr>
        <w:tc>
          <w:tcPr>
            <w:tcW w:w="898" w:type="dxa"/>
            <w:vMerge/>
            <w:tcBorders>
              <w:top w:val="nil"/>
            </w:tcBorders>
            <w:textDirection w:val="btLr"/>
          </w:tcPr>
          <w:p w:rsidR="001302D7" w:rsidRDefault="001302D7">
            <w:pPr>
              <w:rPr>
                <w:sz w:val="18"/>
                <w:szCs w:val="18"/>
              </w:rPr>
            </w:pPr>
          </w:p>
        </w:tc>
        <w:tc>
          <w:tcPr>
            <w:tcW w:w="888" w:type="dxa"/>
            <w:vMerge w:val="restart"/>
            <w:shd w:val="clear" w:color="auto" w:fill="DAEDF3"/>
          </w:tcPr>
          <w:p w:rsidR="001302D7" w:rsidRDefault="001302D7">
            <w:pPr>
              <w:pStyle w:val="TableParagraph"/>
              <w:spacing w:before="5"/>
              <w:rPr>
                <w:rFonts w:ascii="Arial" w:hAnsi="Arial" w:cs="Arial"/>
                <w:b/>
                <w:sz w:val="20"/>
                <w:szCs w:val="20"/>
              </w:rPr>
            </w:pPr>
          </w:p>
          <w:p w:rsidR="001302D7" w:rsidRDefault="0046548E">
            <w:pPr>
              <w:pStyle w:val="TableParagraph"/>
              <w:ind w:left="62"/>
              <w:rPr>
                <w:rFonts w:ascii="Arial" w:hAnsi="Arial" w:cs="Arial"/>
                <w:b/>
                <w:sz w:val="20"/>
                <w:szCs w:val="20"/>
              </w:rPr>
            </w:pPr>
            <w:r>
              <w:rPr>
                <w:rFonts w:ascii="Arial" w:hAnsi="Arial" w:cs="Arial"/>
                <w:b/>
                <w:sz w:val="20"/>
                <w:szCs w:val="20"/>
              </w:rPr>
              <w:t>Semana</w:t>
            </w:r>
          </w:p>
        </w:tc>
        <w:tc>
          <w:tcPr>
            <w:tcW w:w="8560" w:type="dxa"/>
            <w:gridSpan w:val="4"/>
            <w:shd w:val="clear" w:color="auto" w:fill="DAEDF3"/>
          </w:tcPr>
          <w:p w:rsidR="001302D7" w:rsidRDefault="0046548E">
            <w:pPr>
              <w:pStyle w:val="TableParagraph"/>
              <w:spacing w:before="30"/>
              <w:ind w:left="3855" w:right="3524"/>
              <w:jc w:val="center"/>
              <w:rPr>
                <w:rFonts w:ascii="Arial" w:hAnsi="Arial" w:cs="Arial"/>
                <w:b/>
                <w:sz w:val="20"/>
                <w:szCs w:val="20"/>
              </w:rPr>
            </w:pPr>
            <w:r>
              <w:rPr>
                <w:rFonts w:ascii="Arial" w:hAnsi="Arial" w:cs="Arial"/>
                <w:b/>
                <w:sz w:val="20"/>
                <w:szCs w:val="20"/>
              </w:rPr>
              <w:t>Contenidos</w:t>
            </w:r>
          </w:p>
        </w:tc>
        <w:tc>
          <w:tcPr>
            <w:tcW w:w="2378" w:type="dxa"/>
            <w:gridSpan w:val="2"/>
            <w:vMerge w:val="restart"/>
            <w:shd w:val="clear" w:color="auto" w:fill="DAEDF3"/>
          </w:tcPr>
          <w:p w:rsidR="001302D7" w:rsidRDefault="0046548E">
            <w:pPr>
              <w:pStyle w:val="TableParagraph"/>
              <w:spacing w:before="93" w:line="278" w:lineRule="auto"/>
              <w:ind w:left="274" w:right="316" w:firstLine="14"/>
              <w:jc w:val="center"/>
              <w:rPr>
                <w:rFonts w:ascii="Arial" w:hAnsi="Arial" w:cs="Arial"/>
                <w:b/>
                <w:sz w:val="20"/>
                <w:szCs w:val="20"/>
              </w:rPr>
            </w:pPr>
            <w:r>
              <w:rPr>
                <w:rFonts w:ascii="Arial" w:hAnsi="Arial" w:cs="Arial"/>
                <w:b/>
                <w:sz w:val="18"/>
                <w:szCs w:val="18"/>
              </w:rPr>
              <w:t>Estrategias didácticas</w:t>
            </w:r>
          </w:p>
        </w:tc>
        <w:tc>
          <w:tcPr>
            <w:tcW w:w="2664" w:type="dxa"/>
            <w:vMerge w:val="restart"/>
            <w:shd w:val="clear" w:color="auto" w:fill="DAEDF3"/>
          </w:tcPr>
          <w:p w:rsidR="001302D7" w:rsidRDefault="0046548E">
            <w:pPr>
              <w:pStyle w:val="TableParagraph"/>
              <w:spacing w:before="93" w:line="278" w:lineRule="auto"/>
              <w:ind w:left="719" w:right="129" w:hanging="552"/>
              <w:rPr>
                <w:rFonts w:ascii="Arial" w:hAnsi="Arial" w:cs="Arial"/>
                <w:b/>
                <w:sz w:val="20"/>
                <w:szCs w:val="20"/>
              </w:rPr>
            </w:pPr>
            <w:r>
              <w:rPr>
                <w:rFonts w:ascii="Arial" w:hAnsi="Arial" w:cs="Arial"/>
                <w:b/>
                <w:sz w:val="20"/>
                <w:szCs w:val="20"/>
              </w:rPr>
              <w:t>Indicadores de logro de la capacidad</w:t>
            </w:r>
          </w:p>
        </w:tc>
      </w:tr>
      <w:tr w:rsidR="001302D7">
        <w:trPr>
          <w:trHeight w:val="455"/>
        </w:trPr>
        <w:tc>
          <w:tcPr>
            <w:tcW w:w="898" w:type="dxa"/>
            <w:vMerge/>
            <w:tcBorders>
              <w:top w:val="nil"/>
            </w:tcBorders>
            <w:textDirection w:val="btLr"/>
          </w:tcPr>
          <w:p w:rsidR="001302D7" w:rsidRDefault="001302D7">
            <w:pPr>
              <w:rPr>
                <w:sz w:val="18"/>
                <w:szCs w:val="18"/>
              </w:rPr>
            </w:pPr>
          </w:p>
        </w:tc>
        <w:tc>
          <w:tcPr>
            <w:tcW w:w="888" w:type="dxa"/>
            <w:vMerge/>
            <w:tcBorders>
              <w:top w:val="nil"/>
            </w:tcBorders>
            <w:shd w:val="clear" w:color="auto" w:fill="DAEDF3"/>
          </w:tcPr>
          <w:p w:rsidR="001302D7" w:rsidRDefault="001302D7">
            <w:pPr>
              <w:rPr>
                <w:sz w:val="20"/>
                <w:szCs w:val="20"/>
              </w:rPr>
            </w:pPr>
          </w:p>
        </w:tc>
        <w:tc>
          <w:tcPr>
            <w:tcW w:w="3005" w:type="dxa"/>
            <w:shd w:val="clear" w:color="auto" w:fill="DAEDF3"/>
          </w:tcPr>
          <w:p w:rsidR="001302D7" w:rsidRDefault="0046548E">
            <w:pPr>
              <w:pStyle w:val="TableParagraph"/>
              <w:spacing w:before="1"/>
              <w:ind w:left="907"/>
              <w:rPr>
                <w:rFonts w:ascii="Arial" w:hAnsi="Arial" w:cs="Arial"/>
                <w:b/>
                <w:sz w:val="20"/>
                <w:szCs w:val="20"/>
              </w:rPr>
            </w:pPr>
            <w:r>
              <w:rPr>
                <w:rFonts w:ascii="Arial" w:hAnsi="Arial" w:cs="Arial"/>
                <w:b/>
                <w:sz w:val="20"/>
                <w:szCs w:val="20"/>
              </w:rPr>
              <w:t>Conceptual</w:t>
            </w:r>
          </w:p>
        </w:tc>
        <w:tc>
          <w:tcPr>
            <w:tcW w:w="2726" w:type="dxa"/>
            <w:gridSpan w:val="2"/>
            <w:shd w:val="clear" w:color="auto" w:fill="DAEDF3"/>
          </w:tcPr>
          <w:p w:rsidR="001302D7" w:rsidRDefault="0046548E">
            <w:pPr>
              <w:pStyle w:val="TableParagraph"/>
              <w:spacing w:before="1"/>
              <w:ind w:left="634"/>
              <w:rPr>
                <w:rFonts w:ascii="Arial" w:hAnsi="Arial" w:cs="Arial"/>
                <w:b/>
                <w:sz w:val="20"/>
                <w:szCs w:val="20"/>
              </w:rPr>
            </w:pPr>
            <w:r>
              <w:rPr>
                <w:rFonts w:ascii="Arial" w:hAnsi="Arial" w:cs="Arial"/>
                <w:b/>
                <w:sz w:val="20"/>
                <w:szCs w:val="20"/>
              </w:rPr>
              <w:t>Procedimental</w:t>
            </w:r>
          </w:p>
        </w:tc>
        <w:tc>
          <w:tcPr>
            <w:tcW w:w="2829" w:type="dxa"/>
            <w:shd w:val="clear" w:color="auto" w:fill="DAEDF3"/>
          </w:tcPr>
          <w:p w:rsidR="001302D7" w:rsidRDefault="0046548E">
            <w:pPr>
              <w:pStyle w:val="TableParagraph"/>
              <w:spacing w:before="1"/>
              <w:ind w:left="832"/>
              <w:rPr>
                <w:rFonts w:ascii="Arial" w:hAnsi="Arial" w:cs="Arial"/>
                <w:b/>
                <w:sz w:val="20"/>
                <w:szCs w:val="20"/>
              </w:rPr>
            </w:pPr>
            <w:r>
              <w:rPr>
                <w:rFonts w:ascii="Arial" w:hAnsi="Arial" w:cs="Arial"/>
                <w:b/>
                <w:sz w:val="20"/>
                <w:szCs w:val="20"/>
              </w:rPr>
              <w:t>Actitudinal</w:t>
            </w:r>
          </w:p>
        </w:tc>
        <w:tc>
          <w:tcPr>
            <w:tcW w:w="2378" w:type="dxa"/>
            <w:gridSpan w:val="2"/>
            <w:vMerge/>
            <w:tcBorders>
              <w:top w:val="nil"/>
            </w:tcBorders>
            <w:shd w:val="clear" w:color="auto" w:fill="DAEDF3"/>
          </w:tcPr>
          <w:p w:rsidR="001302D7" w:rsidRDefault="001302D7">
            <w:pPr>
              <w:rPr>
                <w:sz w:val="20"/>
                <w:szCs w:val="20"/>
              </w:rPr>
            </w:pPr>
          </w:p>
        </w:tc>
        <w:tc>
          <w:tcPr>
            <w:tcW w:w="2664" w:type="dxa"/>
            <w:vMerge/>
            <w:tcBorders>
              <w:top w:val="nil"/>
            </w:tcBorders>
            <w:shd w:val="clear" w:color="auto" w:fill="DAEDF3"/>
          </w:tcPr>
          <w:p w:rsidR="001302D7" w:rsidRDefault="001302D7">
            <w:pPr>
              <w:rPr>
                <w:sz w:val="20"/>
                <w:szCs w:val="20"/>
              </w:rPr>
            </w:pPr>
          </w:p>
        </w:tc>
      </w:tr>
      <w:tr w:rsidR="001302D7">
        <w:trPr>
          <w:trHeight w:val="1324"/>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Arial" w:hAnsi="Arial" w:cs="Arial"/>
                <w:b/>
                <w:sz w:val="20"/>
                <w:szCs w:val="20"/>
              </w:rPr>
            </w:pPr>
          </w:p>
          <w:p w:rsidR="001302D7" w:rsidRDefault="001302D7">
            <w:pPr>
              <w:pStyle w:val="TableParagraph"/>
              <w:spacing w:before="11"/>
              <w:rPr>
                <w:rFonts w:ascii="Arial" w:hAnsi="Arial" w:cs="Arial"/>
                <w:b/>
                <w:sz w:val="20"/>
                <w:szCs w:val="20"/>
              </w:rPr>
            </w:pPr>
          </w:p>
          <w:p w:rsidR="001302D7" w:rsidRDefault="0046548E">
            <w:pPr>
              <w:pStyle w:val="TableParagraph"/>
              <w:ind w:right="370"/>
              <w:jc w:val="right"/>
              <w:rPr>
                <w:rFonts w:ascii="Arial" w:hAnsi="Arial" w:cs="Arial"/>
                <w:b/>
                <w:sz w:val="20"/>
                <w:szCs w:val="20"/>
                <w:lang w:val="es-PE"/>
              </w:rPr>
            </w:pPr>
            <w:r>
              <w:rPr>
                <w:rFonts w:ascii="Arial" w:hAnsi="Arial" w:cs="Arial"/>
                <w:b/>
                <w:sz w:val="20"/>
                <w:szCs w:val="20"/>
                <w:lang w:val="es-PE"/>
              </w:rPr>
              <w:t>5</w:t>
            </w:r>
          </w:p>
        </w:tc>
        <w:tc>
          <w:tcPr>
            <w:tcW w:w="3005" w:type="dxa"/>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 xml:space="preserve">Clasificación de tratados comerciales (bilaterales/multilaterales). </w:t>
            </w:r>
            <w:r>
              <w:rPr>
                <w:rFonts w:ascii="Arial" w:hAnsi="Arial" w:cs="Arial"/>
                <w:color w:val="000000"/>
                <w:sz w:val="20"/>
                <w:szCs w:val="20"/>
              </w:rPr>
              <w:t>Relación entre tratados y el sistema tributario peruano (Arts. 55-57 LIR).</w:t>
            </w:r>
          </w:p>
        </w:tc>
        <w:tc>
          <w:tcPr>
            <w:tcW w:w="2726" w:type="dxa"/>
            <w:gridSpan w:val="2"/>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Elabora cuadros comparativos sobre clasificación de tratados y su articulación con la LIR. Estructura el marco inicial de la Monografía N° 2.</w:t>
            </w:r>
          </w:p>
        </w:tc>
        <w:tc>
          <w:tcPr>
            <w:tcW w:w="2829" w:type="dxa"/>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Valora la importancia de los tratados e</w:t>
            </w:r>
            <w:r>
              <w:rPr>
                <w:rFonts w:ascii="Arial" w:hAnsi="Arial" w:cs="Arial"/>
                <w:color w:val="000000"/>
                <w:sz w:val="20"/>
                <w:szCs w:val="20"/>
              </w:rPr>
              <w:t>n la planificación fiscal e integración de mercados.</w:t>
            </w:r>
          </w:p>
        </w:tc>
        <w:tc>
          <w:tcPr>
            <w:tcW w:w="2378" w:type="dxa"/>
            <w:gridSpan w:val="2"/>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Exposición dialogada, lectura del marco legal LIR/SUNAT y uso de base Mincetur.</w:t>
            </w:r>
          </w:p>
        </w:tc>
        <w:tc>
          <w:tcPr>
            <w:tcW w:w="2664" w:type="dxa"/>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Diferencia tratados bilaterales y multilaterales y explica la relación entre tratados y tributación peruana.</w:t>
            </w:r>
          </w:p>
        </w:tc>
      </w:tr>
      <w:tr w:rsidR="001302D7">
        <w:trPr>
          <w:trHeight w:val="1272"/>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Arial" w:hAnsi="Arial" w:cs="Arial"/>
                <w:b/>
                <w:sz w:val="20"/>
                <w:szCs w:val="20"/>
              </w:rPr>
            </w:pPr>
          </w:p>
          <w:p w:rsidR="001302D7" w:rsidRDefault="0046548E">
            <w:pPr>
              <w:pStyle w:val="TableParagraph"/>
              <w:spacing w:before="171"/>
              <w:ind w:right="370"/>
              <w:jc w:val="right"/>
              <w:rPr>
                <w:rFonts w:ascii="Arial" w:hAnsi="Arial" w:cs="Arial"/>
                <w:b/>
                <w:sz w:val="20"/>
                <w:szCs w:val="20"/>
                <w:lang w:val="es-PE"/>
              </w:rPr>
            </w:pPr>
            <w:r>
              <w:rPr>
                <w:rFonts w:ascii="Arial" w:hAnsi="Arial" w:cs="Arial"/>
                <w:b/>
                <w:sz w:val="20"/>
                <w:szCs w:val="20"/>
                <w:lang w:val="es-PE"/>
              </w:rPr>
              <w:t>6</w:t>
            </w:r>
          </w:p>
        </w:tc>
        <w:tc>
          <w:tcPr>
            <w:tcW w:w="3005"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 xml:space="preserve">Tratado </w:t>
            </w:r>
            <w:r>
              <w:rPr>
                <w:rFonts w:ascii="Arial" w:hAnsi="Arial" w:cs="Arial"/>
                <w:color w:val="000000"/>
                <w:sz w:val="20"/>
                <w:szCs w:val="20"/>
              </w:rPr>
              <w:t>de Libre Comercio Perú – Estados Unidos. Tratado de Libre Comercio Perú – Canadá.</w:t>
            </w:r>
          </w:p>
        </w:tc>
        <w:tc>
          <w:tcPr>
            <w:tcW w:w="2726"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Analiza ventajas comerciales, cronogramas de desgravación y reglas de origen mediante casos reales.</w:t>
            </w:r>
          </w:p>
        </w:tc>
        <w:tc>
          <w:tcPr>
            <w:tcW w:w="2829"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Reconoce el valor de los acuerdos comerciales en América para el desarroll</w:t>
            </w:r>
            <w:r>
              <w:rPr>
                <w:rFonts w:ascii="Arial" w:hAnsi="Arial" w:cs="Arial"/>
                <w:color w:val="000000"/>
                <w:sz w:val="20"/>
                <w:szCs w:val="20"/>
              </w:rPr>
              <w:t>o exportador.</w:t>
            </w:r>
          </w:p>
        </w:tc>
        <w:tc>
          <w:tcPr>
            <w:tcW w:w="2378"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Debate dirigido, estudio de casos de exportación y uso de SICE OEA.</w:t>
            </w:r>
          </w:p>
        </w:tc>
        <w:tc>
          <w:tcPr>
            <w:tcW w:w="2664"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Explica los beneficios y preferencias arancelarias de los TLCs con EE.UU. y Canadá usando datos.</w:t>
            </w:r>
          </w:p>
        </w:tc>
      </w:tr>
      <w:tr w:rsidR="001302D7">
        <w:trPr>
          <w:trHeight w:val="1134"/>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Arial" w:hAnsi="Arial" w:cs="Arial"/>
                <w:b/>
                <w:sz w:val="20"/>
                <w:szCs w:val="20"/>
              </w:rPr>
            </w:pPr>
          </w:p>
          <w:p w:rsidR="001302D7" w:rsidRDefault="0046548E">
            <w:pPr>
              <w:pStyle w:val="TableParagraph"/>
              <w:spacing w:before="143"/>
              <w:ind w:right="370"/>
              <w:jc w:val="right"/>
              <w:rPr>
                <w:rFonts w:ascii="Arial" w:hAnsi="Arial" w:cs="Arial"/>
                <w:b/>
                <w:sz w:val="20"/>
                <w:szCs w:val="20"/>
                <w:lang w:val="es-PE"/>
              </w:rPr>
            </w:pPr>
            <w:r>
              <w:rPr>
                <w:rFonts w:ascii="Arial" w:hAnsi="Arial" w:cs="Arial"/>
                <w:b/>
                <w:sz w:val="20"/>
                <w:szCs w:val="20"/>
                <w:lang w:val="es-PE"/>
              </w:rPr>
              <w:t>7</w:t>
            </w:r>
          </w:p>
        </w:tc>
        <w:tc>
          <w:tcPr>
            <w:tcW w:w="3005"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 xml:space="preserve">TLCs Perú – Singapur, China, Corea del Sur y Japón. Oportunidades, </w:t>
            </w:r>
            <w:r>
              <w:rPr>
                <w:rFonts w:ascii="Arial" w:hAnsi="Arial" w:cs="Arial"/>
                <w:color w:val="000000"/>
                <w:sz w:val="20"/>
                <w:szCs w:val="20"/>
              </w:rPr>
              <w:t>contingentes y barreras fitosanitarias.</w:t>
            </w:r>
          </w:p>
        </w:tc>
        <w:tc>
          <w:tcPr>
            <w:tcW w:w="2726"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Elabora informes de análisis sobre acceso preferencial a mercados de Asia Oriental.</w:t>
            </w:r>
          </w:p>
        </w:tc>
        <w:tc>
          <w:tcPr>
            <w:tcW w:w="2829"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Valora la apertura comercial en la Cuenca del Pacífico y la competitividad exportadora.</w:t>
            </w:r>
          </w:p>
        </w:tc>
        <w:tc>
          <w:tcPr>
            <w:tcW w:w="2378"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Lecturas guiadas, laboratorios de simulación</w:t>
            </w:r>
            <w:r>
              <w:rPr>
                <w:rFonts w:ascii="Arial" w:hAnsi="Arial" w:cs="Arial"/>
                <w:color w:val="000000"/>
                <w:sz w:val="20"/>
                <w:szCs w:val="20"/>
              </w:rPr>
              <w:t xml:space="preserve"> y uso de TradeMap y Global Trade Helpdesk.</w:t>
            </w:r>
          </w:p>
        </w:tc>
        <w:tc>
          <w:tcPr>
            <w:tcW w:w="2664"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Identifica oportunidades comerciales y reglas de origen generadas por los TLCs con el bloque asiático.</w:t>
            </w:r>
          </w:p>
        </w:tc>
      </w:tr>
      <w:tr w:rsidR="001302D7">
        <w:trPr>
          <w:trHeight w:val="1363"/>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Arial" w:hAnsi="Arial" w:cs="Arial"/>
                <w:b/>
                <w:sz w:val="20"/>
                <w:szCs w:val="20"/>
              </w:rPr>
            </w:pPr>
          </w:p>
          <w:p w:rsidR="001302D7" w:rsidRDefault="0046548E">
            <w:pPr>
              <w:pStyle w:val="TableParagraph"/>
              <w:spacing w:before="177"/>
              <w:ind w:right="370"/>
              <w:jc w:val="right"/>
              <w:rPr>
                <w:rFonts w:ascii="Arial" w:hAnsi="Arial" w:cs="Arial"/>
                <w:b/>
                <w:sz w:val="20"/>
                <w:szCs w:val="20"/>
                <w:lang w:val="es-PE"/>
              </w:rPr>
            </w:pPr>
            <w:r>
              <w:rPr>
                <w:rFonts w:ascii="Arial" w:hAnsi="Arial" w:cs="Arial"/>
                <w:b/>
                <w:sz w:val="20"/>
                <w:szCs w:val="20"/>
                <w:lang w:val="es-PE"/>
              </w:rPr>
              <w:t>8</w:t>
            </w:r>
          </w:p>
        </w:tc>
        <w:tc>
          <w:tcPr>
            <w:tcW w:w="3005" w:type="dxa"/>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Siglas claves en embarques marítimos (B/L, FCL, LCL, ETA, ETD, CY, CFS, TEU) y abreviaturas logísticas.</w:t>
            </w:r>
          </w:p>
        </w:tc>
        <w:tc>
          <w:tcPr>
            <w:tcW w:w="2726" w:type="dxa"/>
            <w:gridSpan w:val="2"/>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Interpreta documentos de embarque y abreviaturas usadas en transporte marítimo internacional.</w:t>
            </w:r>
          </w:p>
        </w:tc>
        <w:tc>
          <w:tcPr>
            <w:tcW w:w="2829" w:type="dxa"/>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Reconoce la precisión y rigor requerido en el manejo de terminología logística internacional.</w:t>
            </w:r>
          </w:p>
        </w:tc>
        <w:tc>
          <w:tcPr>
            <w:tcW w:w="2378" w:type="dxa"/>
            <w:gridSpan w:val="2"/>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Simulación de documentos de embarque, Exposición Grupal y entrega de</w:t>
            </w:r>
            <w:r>
              <w:rPr>
                <w:rFonts w:ascii="Arial" w:hAnsi="Arial" w:cs="Arial"/>
                <w:color w:val="000000"/>
                <w:sz w:val="20"/>
                <w:szCs w:val="20"/>
              </w:rPr>
              <w:t xml:space="preserve"> la Monografía N° 2.</w:t>
            </w:r>
          </w:p>
        </w:tc>
        <w:tc>
          <w:tcPr>
            <w:tcW w:w="2664" w:type="dxa"/>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Interpreta abreviaturas y documentos marítimos, sustentando la Monografía N° 2 sobre TLCs.</w:t>
            </w:r>
          </w:p>
        </w:tc>
      </w:tr>
      <w:tr w:rsidR="001302D7">
        <w:trPr>
          <w:trHeight w:val="455"/>
        </w:trPr>
        <w:tc>
          <w:tcPr>
            <w:tcW w:w="898" w:type="dxa"/>
            <w:vMerge/>
            <w:tcBorders>
              <w:top w:val="nil"/>
            </w:tcBorders>
            <w:textDirection w:val="btLr"/>
          </w:tcPr>
          <w:p w:rsidR="001302D7" w:rsidRDefault="001302D7">
            <w:pPr>
              <w:rPr>
                <w:sz w:val="18"/>
                <w:szCs w:val="18"/>
              </w:rPr>
            </w:pPr>
          </w:p>
        </w:tc>
        <w:tc>
          <w:tcPr>
            <w:tcW w:w="888" w:type="dxa"/>
            <w:vMerge w:val="restart"/>
          </w:tcPr>
          <w:p w:rsidR="001302D7" w:rsidRDefault="001302D7">
            <w:pPr>
              <w:pStyle w:val="TableParagraph"/>
              <w:rPr>
                <w:rFonts w:ascii="Arial" w:hAnsi="Arial" w:cs="Arial"/>
                <w:sz w:val="20"/>
                <w:szCs w:val="20"/>
              </w:rPr>
            </w:pPr>
          </w:p>
        </w:tc>
        <w:tc>
          <w:tcPr>
            <w:tcW w:w="13602" w:type="dxa"/>
            <w:gridSpan w:val="7"/>
            <w:shd w:val="clear" w:color="auto" w:fill="DAEDF3"/>
          </w:tcPr>
          <w:p w:rsidR="001302D7" w:rsidRDefault="0046548E">
            <w:pPr>
              <w:pStyle w:val="TableParagraph"/>
              <w:spacing w:before="1"/>
              <w:ind w:left="4954" w:right="4625"/>
              <w:jc w:val="center"/>
              <w:rPr>
                <w:rFonts w:ascii="Arial" w:hAnsi="Arial" w:cs="Arial"/>
                <w:b/>
                <w:sz w:val="20"/>
                <w:szCs w:val="20"/>
              </w:rPr>
            </w:pPr>
            <w:r>
              <w:rPr>
                <w:rFonts w:ascii="Arial" w:hAnsi="Arial" w:cs="Arial"/>
                <w:b/>
                <w:sz w:val="20"/>
                <w:szCs w:val="20"/>
              </w:rPr>
              <w:t>EVALUACIÓN DE LA UNIDAD DIDÁCTICA</w:t>
            </w:r>
          </w:p>
        </w:tc>
      </w:tr>
      <w:tr w:rsidR="001302D7">
        <w:trPr>
          <w:trHeight w:val="460"/>
        </w:trPr>
        <w:tc>
          <w:tcPr>
            <w:tcW w:w="898" w:type="dxa"/>
            <w:vMerge/>
            <w:tcBorders>
              <w:top w:val="nil"/>
            </w:tcBorders>
            <w:textDirection w:val="btLr"/>
          </w:tcPr>
          <w:p w:rsidR="001302D7" w:rsidRDefault="001302D7">
            <w:pPr>
              <w:rPr>
                <w:sz w:val="18"/>
                <w:szCs w:val="18"/>
              </w:rPr>
            </w:pPr>
          </w:p>
        </w:tc>
        <w:tc>
          <w:tcPr>
            <w:tcW w:w="888" w:type="dxa"/>
            <w:vMerge/>
            <w:tcBorders>
              <w:top w:val="nil"/>
            </w:tcBorders>
          </w:tcPr>
          <w:p w:rsidR="001302D7" w:rsidRDefault="001302D7">
            <w:pPr>
              <w:rPr>
                <w:sz w:val="20"/>
                <w:szCs w:val="20"/>
              </w:rPr>
            </w:pPr>
          </w:p>
        </w:tc>
        <w:tc>
          <w:tcPr>
            <w:tcW w:w="3864" w:type="dxa"/>
            <w:gridSpan w:val="2"/>
            <w:shd w:val="clear" w:color="auto" w:fill="DAEDF3"/>
          </w:tcPr>
          <w:p w:rsidR="001302D7" w:rsidRDefault="0046548E">
            <w:pPr>
              <w:pStyle w:val="TableParagraph"/>
              <w:spacing w:before="7"/>
              <w:ind w:left="485"/>
              <w:rPr>
                <w:rFonts w:ascii="Arial" w:hAnsi="Arial" w:cs="Arial"/>
                <w:b/>
                <w:sz w:val="20"/>
                <w:szCs w:val="20"/>
              </w:rPr>
            </w:pPr>
            <w:r>
              <w:rPr>
                <w:rFonts w:ascii="Arial" w:hAnsi="Arial" w:cs="Arial"/>
                <w:b/>
                <w:sz w:val="20"/>
                <w:szCs w:val="20"/>
              </w:rPr>
              <w:t>EVIDENCIA DE CONOCIMIENTOS</w:t>
            </w:r>
          </w:p>
        </w:tc>
        <w:tc>
          <w:tcPr>
            <w:tcW w:w="4904" w:type="dxa"/>
            <w:gridSpan w:val="3"/>
            <w:shd w:val="clear" w:color="auto" w:fill="DAEDF3"/>
          </w:tcPr>
          <w:p w:rsidR="001302D7" w:rsidRDefault="0046548E">
            <w:pPr>
              <w:pStyle w:val="TableParagraph"/>
              <w:spacing w:before="7"/>
              <w:ind w:left="1307"/>
              <w:rPr>
                <w:rFonts w:ascii="Arial" w:hAnsi="Arial" w:cs="Arial"/>
                <w:b/>
                <w:sz w:val="20"/>
                <w:szCs w:val="20"/>
              </w:rPr>
            </w:pPr>
            <w:r>
              <w:rPr>
                <w:rFonts w:ascii="Arial" w:hAnsi="Arial" w:cs="Arial"/>
                <w:b/>
                <w:sz w:val="20"/>
                <w:szCs w:val="20"/>
              </w:rPr>
              <w:t>EVIDENCIA DE PRODUCTO</w:t>
            </w:r>
          </w:p>
        </w:tc>
        <w:tc>
          <w:tcPr>
            <w:tcW w:w="4834" w:type="dxa"/>
            <w:gridSpan w:val="2"/>
            <w:shd w:val="clear" w:color="auto" w:fill="DAEDF3"/>
          </w:tcPr>
          <w:p w:rsidR="001302D7" w:rsidRDefault="0046548E">
            <w:pPr>
              <w:pStyle w:val="TableParagraph"/>
              <w:spacing w:before="7"/>
              <w:ind w:left="1209"/>
              <w:rPr>
                <w:rFonts w:ascii="Arial" w:hAnsi="Arial" w:cs="Arial"/>
                <w:b/>
                <w:sz w:val="20"/>
                <w:szCs w:val="20"/>
              </w:rPr>
            </w:pPr>
            <w:r>
              <w:rPr>
                <w:rFonts w:ascii="Arial" w:hAnsi="Arial" w:cs="Arial"/>
                <w:b/>
                <w:sz w:val="20"/>
                <w:szCs w:val="20"/>
              </w:rPr>
              <w:t>EVIDENCIA DE DESEMPEÑO</w:t>
            </w:r>
          </w:p>
        </w:tc>
      </w:tr>
      <w:tr w:rsidR="001302D7">
        <w:trPr>
          <w:trHeight w:val="825"/>
        </w:trPr>
        <w:tc>
          <w:tcPr>
            <w:tcW w:w="898" w:type="dxa"/>
            <w:vMerge/>
            <w:tcBorders>
              <w:top w:val="nil"/>
            </w:tcBorders>
            <w:textDirection w:val="btLr"/>
          </w:tcPr>
          <w:p w:rsidR="001302D7" w:rsidRDefault="001302D7">
            <w:pPr>
              <w:rPr>
                <w:sz w:val="18"/>
                <w:szCs w:val="18"/>
              </w:rPr>
            </w:pPr>
          </w:p>
        </w:tc>
        <w:tc>
          <w:tcPr>
            <w:tcW w:w="888" w:type="dxa"/>
            <w:vMerge/>
            <w:tcBorders>
              <w:top w:val="nil"/>
            </w:tcBorders>
          </w:tcPr>
          <w:p w:rsidR="001302D7" w:rsidRDefault="001302D7">
            <w:pPr>
              <w:rPr>
                <w:sz w:val="20"/>
                <w:szCs w:val="20"/>
              </w:rPr>
            </w:pPr>
          </w:p>
        </w:tc>
        <w:tc>
          <w:tcPr>
            <w:tcW w:w="3864" w:type="dxa"/>
            <w:gridSpan w:val="2"/>
          </w:tcPr>
          <w:p w:rsidR="001302D7" w:rsidRDefault="0046548E">
            <w:pPr>
              <w:pStyle w:val="TableParagraph"/>
              <w:spacing w:line="310" w:lineRule="atLeast"/>
              <w:ind w:left="72" w:right="2164"/>
              <w:rPr>
                <w:rFonts w:ascii="Arial" w:hAnsi="Arial" w:cs="Arial"/>
                <w:sz w:val="20"/>
                <w:szCs w:val="20"/>
              </w:rPr>
            </w:pPr>
            <w:r>
              <w:rPr>
                <w:rFonts w:ascii="Arial" w:hAnsi="Arial" w:cs="Arial"/>
                <w:sz w:val="20"/>
                <w:szCs w:val="20"/>
              </w:rPr>
              <w:t>Cuestionarios</w:t>
            </w:r>
          </w:p>
          <w:p w:rsidR="001302D7" w:rsidRDefault="0046548E">
            <w:pPr>
              <w:pStyle w:val="TableParagraph"/>
              <w:spacing w:line="310" w:lineRule="atLeast"/>
              <w:ind w:left="72" w:right="2164"/>
              <w:rPr>
                <w:rFonts w:ascii="Arial" w:hAnsi="Arial" w:cs="Arial"/>
                <w:sz w:val="20"/>
                <w:szCs w:val="20"/>
              </w:rPr>
            </w:pPr>
            <w:r>
              <w:rPr>
                <w:rFonts w:ascii="Arial" w:hAnsi="Arial" w:cs="Arial"/>
                <w:sz w:val="20"/>
                <w:szCs w:val="20"/>
              </w:rPr>
              <w:t xml:space="preserve">Análisis de </w:t>
            </w:r>
            <w:r>
              <w:rPr>
                <w:rFonts w:ascii="Arial" w:hAnsi="Arial" w:cs="Arial"/>
                <w:sz w:val="20"/>
                <w:szCs w:val="20"/>
              </w:rPr>
              <w:t>tratados</w:t>
            </w:r>
          </w:p>
        </w:tc>
        <w:tc>
          <w:tcPr>
            <w:tcW w:w="4904" w:type="dxa"/>
            <w:gridSpan w:val="3"/>
          </w:tcPr>
          <w:p w:rsidR="001302D7" w:rsidRDefault="0046548E">
            <w:pPr>
              <w:pStyle w:val="TableParagraph"/>
              <w:spacing w:before="1" w:line="253" w:lineRule="exact"/>
              <w:ind w:left="68"/>
              <w:rPr>
                <w:rFonts w:ascii="Arial" w:hAnsi="Arial" w:cs="Arial"/>
                <w:sz w:val="20"/>
                <w:szCs w:val="20"/>
              </w:rPr>
            </w:pPr>
            <w:r>
              <w:rPr>
                <w:rFonts w:ascii="Arial" w:hAnsi="Arial" w:cs="Arial"/>
                <w:sz w:val="20"/>
                <w:szCs w:val="20"/>
              </w:rPr>
              <w:t>Informe comparativo de TLC</w:t>
            </w:r>
          </w:p>
        </w:tc>
        <w:tc>
          <w:tcPr>
            <w:tcW w:w="4834" w:type="dxa"/>
            <w:gridSpan w:val="2"/>
          </w:tcPr>
          <w:p w:rsidR="001302D7" w:rsidRDefault="0046548E">
            <w:pPr>
              <w:pStyle w:val="TableParagraph"/>
              <w:ind w:left="76"/>
              <w:rPr>
                <w:rFonts w:ascii="Arial" w:hAnsi="Arial" w:cs="Arial"/>
                <w:sz w:val="20"/>
                <w:szCs w:val="20"/>
              </w:rPr>
            </w:pPr>
            <w:r>
              <w:rPr>
                <w:rFonts w:ascii="Arial" w:hAnsi="Arial" w:cs="Arial"/>
                <w:sz w:val="20"/>
                <w:szCs w:val="20"/>
              </w:rPr>
              <w:t>Exposición y debate</w:t>
            </w:r>
          </w:p>
        </w:tc>
      </w:tr>
    </w:tbl>
    <w:p w:rsidR="001302D7" w:rsidRDefault="001302D7">
      <w:pPr>
        <w:rPr>
          <w:sz w:val="24"/>
        </w:rPr>
        <w:sectPr w:rsidR="001302D7">
          <w:pgSz w:w="16840" w:h="11910" w:orient="landscape"/>
          <w:pgMar w:top="1100" w:right="600" w:bottom="280" w:left="620" w:header="720" w:footer="720" w:gutter="0"/>
          <w:cols w:space="720"/>
        </w:sectPr>
      </w:pPr>
    </w:p>
    <w:p w:rsidR="001302D7" w:rsidRDefault="001302D7">
      <w:pPr>
        <w:pStyle w:val="Textoindependiente"/>
        <w:rPr>
          <w:rFonts w:ascii="Caladea"/>
          <w:b/>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8"/>
        <w:gridCol w:w="888"/>
        <w:gridCol w:w="3005"/>
        <w:gridCol w:w="859"/>
        <w:gridCol w:w="1864"/>
        <w:gridCol w:w="2829"/>
        <w:gridCol w:w="208"/>
        <w:gridCol w:w="2170"/>
        <w:gridCol w:w="2664"/>
      </w:tblGrid>
      <w:tr w:rsidR="001302D7">
        <w:trPr>
          <w:trHeight w:val="768"/>
        </w:trPr>
        <w:tc>
          <w:tcPr>
            <w:tcW w:w="898" w:type="dxa"/>
            <w:vMerge w:val="restart"/>
            <w:textDirection w:val="btLr"/>
            <w:vAlign w:val="center"/>
          </w:tcPr>
          <w:p w:rsidR="001302D7" w:rsidRDefault="0046548E">
            <w:pPr>
              <w:pStyle w:val="TableParagraph"/>
              <w:spacing w:before="79" w:line="283" w:lineRule="auto"/>
              <w:ind w:left="3538" w:right="18" w:hanging="3276"/>
              <w:jc w:val="center"/>
              <w:rPr>
                <w:b/>
                <w:i/>
                <w:sz w:val="18"/>
                <w:szCs w:val="18"/>
              </w:rPr>
            </w:pPr>
            <w:r>
              <w:rPr>
                <w:rFonts w:ascii="Carlito" w:hAnsi="Carlito"/>
                <w:b/>
                <w:sz w:val="18"/>
                <w:szCs w:val="18"/>
              </w:rPr>
              <w:t>Unidad Didáctica III: La doble imposición internacional y los alcances de los convenios para evitar la doble imposición. Convenio marco “convenio modelo OCDE.</w:t>
            </w:r>
          </w:p>
        </w:tc>
        <w:tc>
          <w:tcPr>
            <w:tcW w:w="14487" w:type="dxa"/>
            <w:gridSpan w:val="8"/>
          </w:tcPr>
          <w:p w:rsidR="001302D7" w:rsidRDefault="0046548E">
            <w:pPr>
              <w:pStyle w:val="TableParagraph"/>
              <w:spacing w:before="19"/>
              <w:ind w:left="67"/>
              <w:rPr>
                <w:sz w:val="18"/>
                <w:szCs w:val="18"/>
              </w:rPr>
            </w:pPr>
            <w:r>
              <w:rPr>
                <w:rFonts w:ascii="Carlito" w:hAnsi="Carlito"/>
                <w:b/>
                <w:sz w:val="18"/>
                <w:szCs w:val="18"/>
              </w:rPr>
              <w:t xml:space="preserve">CAPACIDAD DE LA UNIDAD DIDÁCTICA III: </w:t>
            </w:r>
            <w:r>
              <w:rPr>
                <w:sz w:val="18"/>
                <w:szCs w:val="18"/>
              </w:rPr>
              <w:t>Analizar el problema de la doble imposición internacional y sus implicaciones en el contexto de la tributación internacional. Evaluar los alcances y beneficios de los convenios para evitar la doble imposición, con espe</w:t>
            </w:r>
            <w:r>
              <w:rPr>
                <w:sz w:val="18"/>
                <w:szCs w:val="18"/>
              </w:rPr>
              <w:t>cial énfasis en el modelo de convenio de la OCDE.</w:t>
            </w:r>
          </w:p>
        </w:tc>
      </w:tr>
      <w:tr w:rsidR="001302D7">
        <w:trPr>
          <w:trHeight w:val="508"/>
        </w:trPr>
        <w:tc>
          <w:tcPr>
            <w:tcW w:w="898" w:type="dxa"/>
            <w:vMerge/>
            <w:tcBorders>
              <w:top w:val="nil"/>
            </w:tcBorders>
            <w:textDirection w:val="btLr"/>
          </w:tcPr>
          <w:p w:rsidR="001302D7" w:rsidRDefault="001302D7">
            <w:pPr>
              <w:rPr>
                <w:sz w:val="18"/>
                <w:szCs w:val="18"/>
              </w:rPr>
            </w:pPr>
          </w:p>
        </w:tc>
        <w:tc>
          <w:tcPr>
            <w:tcW w:w="888" w:type="dxa"/>
            <w:vMerge w:val="restart"/>
            <w:shd w:val="clear" w:color="auto" w:fill="DAEDF3"/>
          </w:tcPr>
          <w:p w:rsidR="001302D7" w:rsidRDefault="001302D7">
            <w:pPr>
              <w:pStyle w:val="TableParagraph"/>
              <w:spacing w:before="5"/>
              <w:rPr>
                <w:rFonts w:ascii="Caladea"/>
                <w:b/>
                <w:sz w:val="18"/>
                <w:szCs w:val="18"/>
              </w:rPr>
            </w:pPr>
          </w:p>
          <w:p w:rsidR="001302D7" w:rsidRDefault="0046548E">
            <w:pPr>
              <w:pStyle w:val="TableParagraph"/>
              <w:ind w:left="67"/>
              <w:rPr>
                <w:rFonts w:ascii="Carlito"/>
                <w:b/>
                <w:sz w:val="18"/>
                <w:szCs w:val="18"/>
              </w:rPr>
            </w:pPr>
            <w:r>
              <w:rPr>
                <w:rFonts w:ascii="Carlito"/>
                <w:b/>
                <w:sz w:val="18"/>
                <w:szCs w:val="18"/>
              </w:rPr>
              <w:t>Semana</w:t>
            </w:r>
          </w:p>
        </w:tc>
        <w:tc>
          <w:tcPr>
            <w:tcW w:w="8557" w:type="dxa"/>
            <w:gridSpan w:val="4"/>
            <w:shd w:val="clear" w:color="auto" w:fill="DAEDF3"/>
          </w:tcPr>
          <w:p w:rsidR="001302D7" w:rsidRDefault="0046548E">
            <w:pPr>
              <w:pStyle w:val="TableParagraph"/>
              <w:spacing w:before="25"/>
              <w:ind w:left="3850" w:right="3526"/>
              <w:jc w:val="center"/>
              <w:rPr>
                <w:rFonts w:ascii="Carlito"/>
                <w:b/>
                <w:sz w:val="18"/>
                <w:szCs w:val="18"/>
              </w:rPr>
            </w:pPr>
            <w:r>
              <w:rPr>
                <w:rFonts w:ascii="Carlito"/>
                <w:b/>
                <w:sz w:val="18"/>
                <w:szCs w:val="18"/>
              </w:rPr>
              <w:t>Contenidos</w:t>
            </w:r>
          </w:p>
        </w:tc>
        <w:tc>
          <w:tcPr>
            <w:tcW w:w="2378" w:type="dxa"/>
            <w:gridSpan w:val="2"/>
            <w:vMerge w:val="restart"/>
            <w:shd w:val="clear" w:color="auto" w:fill="DAEDF3"/>
          </w:tcPr>
          <w:p w:rsidR="001302D7" w:rsidRDefault="0046548E">
            <w:pPr>
              <w:pStyle w:val="TableParagraph"/>
              <w:spacing w:before="93" w:line="276" w:lineRule="auto"/>
              <w:ind w:left="277" w:right="313" w:firstLine="14"/>
              <w:jc w:val="center"/>
              <w:rPr>
                <w:rFonts w:ascii="Carlito" w:hAnsi="Carlito"/>
                <w:b/>
                <w:sz w:val="18"/>
                <w:szCs w:val="18"/>
              </w:rPr>
            </w:pPr>
            <w:r>
              <w:rPr>
                <w:rFonts w:ascii="Arial" w:hAnsi="Arial" w:cs="Arial"/>
                <w:b/>
                <w:sz w:val="18"/>
                <w:szCs w:val="18"/>
              </w:rPr>
              <w:t>Estrategias didácticas</w:t>
            </w:r>
          </w:p>
        </w:tc>
        <w:tc>
          <w:tcPr>
            <w:tcW w:w="2664" w:type="dxa"/>
            <w:vMerge w:val="restart"/>
            <w:shd w:val="clear" w:color="auto" w:fill="DAEDF3"/>
          </w:tcPr>
          <w:p w:rsidR="001302D7" w:rsidRDefault="0046548E">
            <w:pPr>
              <w:pStyle w:val="TableParagraph"/>
              <w:spacing w:before="93" w:line="276" w:lineRule="auto"/>
              <w:ind w:left="722" w:right="126" w:hanging="552"/>
              <w:rPr>
                <w:rFonts w:ascii="Carlito"/>
                <w:b/>
                <w:sz w:val="18"/>
                <w:szCs w:val="18"/>
              </w:rPr>
            </w:pPr>
            <w:r>
              <w:rPr>
                <w:rFonts w:ascii="Carlito"/>
                <w:b/>
                <w:sz w:val="18"/>
                <w:szCs w:val="18"/>
              </w:rPr>
              <w:t>Indicadores de logro de la capacidad</w:t>
            </w:r>
          </w:p>
        </w:tc>
      </w:tr>
      <w:tr w:rsidR="001302D7">
        <w:trPr>
          <w:trHeight w:val="456"/>
        </w:trPr>
        <w:tc>
          <w:tcPr>
            <w:tcW w:w="898" w:type="dxa"/>
            <w:vMerge/>
            <w:tcBorders>
              <w:top w:val="nil"/>
            </w:tcBorders>
            <w:textDirection w:val="btLr"/>
          </w:tcPr>
          <w:p w:rsidR="001302D7" w:rsidRDefault="001302D7">
            <w:pPr>
              <w:rPr>
                <w:sz w:val="18"/>
                <w:szCs w:val="18"/>
              </w:rPr>
            </w:pPr>
          </w:p>
        </w:tc>
        <w:tc>
          <w:tcPr>
            <w:tcW w:w="888" w:type="dxa"/>
            <w:vMerge/>
            <w:tcBorders>
              <w:top w:val="nil"/>
            </w:tcBorders>
            <w:shd w:val="clear" w:color="auto" w:fill="DAEDF3"/>
          </w:tcPr>
          <w:p w:rsidR="001302D7" w:rsidRDefault="001302D7">
            <w:pPr>
              <w:rPr>
                <w:sz w:val="18"/>
                <w:szCs w:val="18"/>
              </w:rPr>
            </w:pPr>
          </w:p>
        </w:tc>
        <w:tc>
          <w:tcPr>
            <w:tcW w:w="3005" w:type="dxa"/>
            <w:shd w:val="clear" w:color="auto" w:fill="DAEDF3"/>
          </w:tcPr>
          <w:p w:rsidR="001302D7" w:rsidRDefault="0046548E">
            <w:pPr>
              <w:pStyle w:val="TableParagraph"/>
              <w:spacing w:before="2"/>
              <w:ind w:left="902"/>
              <w:rPr>
                <w:rFonts w:ascii="Carlito"/>
                <w:b/>
                <w:sz w:val="18"/>
                <w:szCs w:val="18"/>
              </w:rPr>
            </w:pPr>
            <w:r>
              <w:rPr>
                <w:rFonts w:ascii="Carlito"/>
                <w:b/>
                <w:sz w:val="18"/>
                <w:szCs w:val="18"/>
              </w:rPr>
              <w:t>Conceptual</w:t>
            </w:r>
          </w:p>
        </w:tc>
        <w:tc>
          <w:tcPr>
            <w:tcW w:w="2723" w:type="dxa"/>
            <w:gridSpan w:val="2"/>
            <w:shd w:val="clear" w:color="auto" w:fill="DAEDF3"/>
          </w:tcPr>
          <w:p w:rsidR="001302D7" w:rsidRDefault="0046548E">
            <w:pPr>
              <w:pStyle w:val="TableParagraph"/>
              <w:spacing w:before="2"/>
              <w:ind w:left="634"/>
              <w:rPr>
                <w:rFonts w:ascii="Carlito"/>
                <w:b/>
                <w:sz w:val="18"/>
                <w:szCs w:val="18"/>
              </w:rPr>
            </w:pPr>
            <w:r>
              <w:rPr>
                <w:rFonts w:ascii="Carlito"/>
                <w:b/>
                <w:sz w:val="18"/>
                <w:szCs w:val="18"/>
              </w:rPr>
              <w:t>Procedimental</w:t>
            </w:r>
          </w:p>
        </w:tc>
        <w:tc>
          <w:tcPr>
            <w:tcW w:w="2829" w:type="dxa"/>
            <w:shd w:val="clear" w:color="auto" w:fill="DAEDF3"/>
          </w:tcPr>
          <w:p w:rsidR="001302D7" w:rsidRDefault="0046548E">
            <w:pPr>
              <w:pStyle w:val="TableParagraph"/>
              <w:spacing w:before="2"/>
              <w:ind w:left="835"/>
              <w:rPr>
                <w:rFonts w:ascii="Carlito"/>
                <w:b/>
                <w:sz w:val="18"/>
                <w:szCs w:val="18"/>
              </w:rPr>
            </w:pPr>
            <w:r>
              <w:rPr>
                <w:rFonts w:ascii="Carlito"/>
                <w:b/>
                <w:sz w:val="18"/>
                <w:szCs w:val="18"/>
              </w:rPr>
              <w:t>Actitudinal</w:t>
            </w:r>
          </w:p>
        </w:tc>
        <w:tc>
          <w:tcPr>
            <w:tcW w:w="2378" w:type="dxa"/>
            <w:gridSpan w:val="2"/>
            <w:vMerge/>
            <w:tcBorders>
              <w:top w:val="nil"/>
            </w:tcBorders>
            <w:shd w:val="clear" w:color="auto" w:fill="DAEDF3"/>
          </w:tcPr>
          <w:p w:rsidR="001302D7" w:rsidRDefault="001302D7">
            <w:pPr>
              <w:rPr>
                <w:sz w:val="18"/>
                <w:szCs w:val="18"/>
              </w:rPr>
            </w:pPr>
          </w:p>
        </w:tc>
        <w:tc>
          <w:tcPr>
            <w:tcW w:w="2664" w:type="dxa"/>
            <w:vMerge/>
            <w:tcBorders>
              <w:top w:val="nil"/>
            </w:tcBorders>
            <w:shd w:val="clear" w:color="auto" w:fill="DAEDF3"/>
          </w:tcPr>
          <w:p w:rsidR="001302D7" w:rsidRDefault="001302D7">
            <w:pPr>
              <w:rPr>
                <w:sz w:val="18"/>
                <w:szCs w:val="18"/>
              </w:rPr>
            </w:pPr>
          </w:p>
        </w:tc>
      </w:tr>
      <w:tr w:rsidR="001302D7">
        <w:trPr>
          <w:trHeight w:val="1114"/>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Caladea"/>
                <w:b/>
                <w:sz w:val="18"/>
                <w:szCs w:val="18"/>
              </w:rPr>
            </w:pPr>
          </w:p>
          <w:p w:rsidR="001302D7" w:rsidRDefault="0046548E">
            <w:pPr>
              <w:pStyle w:val="TableParagraph"/>
              <w:spacing w:before="171"/>
              <w:ind w:right="365"/>
              <w:jc w:val="right"/>
              <w:rPr>
                <w:rFonts w:ascii="Carlito"/>
                <w:b/>
                <w:sz w:val="18"/>
                <w:szCs w:val="18"/>
                <w:lang w:val="es-PE"/>
              </w:rPr>
            </w:pPr>
            <w:r>
              <w:rPr>
                <w:rFonts w:ascii="Carlito"/>
                <w:b/>
                <w:sz w:val="18"/>
                <w:szCs w:val="18"/>
                <w:lang w:val="es-PE"/>
              </w:rPr>
              <w:t>9</w:t>
            </w:r>
          </w:p>
        </w:tc>
        <w:tc>
          <w:tcPr>
            <w:tcW w:w="3005" w:type="dxa"/>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 xml:space="preserve">Nomenclatura y clasificación arancelaria. Reglas Generales de Interpretación </w:t>
            </w:r>
            <w:r>
              <w:rPr>
                <w:rFonts w:ascii="Arial" w:hAnsi="Arial" w:cs="Arial"/>
                <w:color w:val="000000"/>
                <w:sz w:val="20"/>
                <w:szCs w:val="20"/>
              </w:rPr>
              <w:t>del Sistema Armonizado.</w:t>
            </w:r>
          </w:p>
        </w:tc>
        <w:tc>
          <w:tcPr>
            <w:tcW w:w="2723" w:type="dxa"/>
            <w:gridSpan w:val="2"/>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Identifica la estructura arancelaria y clasifica mercancías aplicando las reglas de interpretación. Selecciona producto/país y determina subpartida a 10 dígitos.</w:t>
            </w:r>
          </w:p>
        </w:tc>
        <w:tc>
          <w:tcPr>
            <w:tcW w:w="2829" w:type="dxa"/>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Muestra interés y rigor técnico en la correcta clasificación de partid</w:t>
            </w:r>
            <w:r>
              <w:rPr>
                <w:rFonts w:ascii="Arial" w:hAnsi="Arial" w:cs="Arial"/>
                <w:color w:val="000000"/>
                <w:sz w:val="20"/>
                <w:szCs w:val="20"/>
              </w:rPr>
              <w:t>as arancelarias.</w:t>
            </w:r>
          </w:p>
        </w:tc>
        <w:tc>
          <w:tcPr>
            <w:tcW w:w="2378" w:type="dxa"/>
            <w:gridSpan w:val="2"/>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Exposición dialogada, taller práctico con ejemplos reales y uso de Arancel SUNAT.</w:t>
            </w:r>
          </w:p>
        </w:tc>
        <w:tc>
          <w:tcPr>
            <w:tcW w:w="2664" w:type="dxa"/>
            <w:tcBorders>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Explica la estructura del Sistema Armonizado y determina la partida a 10 dígitos del producto.</w:t>
            </w:r>
          </w:p>
        </w:tc>
      </w:tr>
      <w:tr w:rsidR="001302D7">
        <w:trPr>
          <w:trHeight w:val="1468"/>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Caladea"/>
                <w:b/>
                <w:sz w:val="18"/>
                <w:szCs w:val="18"/>
              </w:rPr>
            </w:pPr>
          </w:p>
          <w:p w:rsidR="001302D7" w:rsidRDefault="001302D7">
            <w:pPr>
              <w:pStyle w:val="TableParagraph"/>
              <w:spacing w:before="2"/>
              <w:rPr>
                <w:rFonts w:ascii="Caladea"/>
                <w:b/>
                <w:sz w:val="18"/>
                <w:szCs w:val="18"/>
              </w:rPr>
            </w:pPr>
          </w:p>
          <w:p w:rsidR="001302D7" w:rsidRDefault="0046548E">
            <w:pPr>
              <w:pStyle w:val="TableParagraph"/>
              <w:ind w:right="365"/>
              <w:jc w:val="right"/>
              <w:rPr>
                <w:rFonts w:ascii="Carlito"/>
                <w:b/>
                <w:sz w:val="18"/>
                <w:szCs w:val="18"/>
                <w:lang w:val="es-PE"/>
              </w:rPr>
            </w:pPr>
            <w:r>
              <w:rPr>
                <w:rFonts w:ascii="Carlito"/>
                <w:b/>
                <w:sz w:val="18"/>
                <w:szCs w:val="18"/>
                <w:lang w:val="es-PE"/>
              </w:rPr>
              <w:t>10</w:t>
            </w:r>
          </w:p>
        </w:tc>
        <w:tc>
          <w:tcPr>
            <w:tcW w:w="3005"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 xml:space="preserve">Investigación comercial e interpretación de partidas </w:t>
            </w:r>
            <w:r>
              <w:rPr>
                <w:rFonts w:ascii="Arial" w:hAnsi="Arial" w:cs="Arial"/>
                <w:color w:val="000000"/>
                <w:sz w:val="20"/>
                <w:szCs w:val="20"/>
              </w:rPr>
              <w:t>arancelarias en plataformas digitales comerciales.</w:t>
            </w:r>
          </w:p>
        </w:tc>
        <w:tc>
          <w:tcPr>
            <w:tcW w:w="2723"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Realiza búsquedas intensivas de flujos comerciales, aranceles e indicadores en bases digitales. Extrae datos de exportación/importación del producto.</w:t>
            </w:r>
          </w:p>
        </w:tc>
        <w:tc>
          <w:tcPr>
            <w:tcW w:w="2829"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bCs/>
                <w:sz w:val="20"/>
                <w:szCs w:val="20"/>
              </w:rPr>
            </w:pPr>
            <w:r>
              <w:rPr>
                <w:rFonts w:ascii="Arial" w:hAnsi="Arial" w:cs="Arial"/>
                <w:color w:val="000000"/>
                <w:sz w:val="20"/>
                <w:szCs w:val="20"/>
              </w:rPr>
              <w:t xml:space="preserve">Demuestra iniciativa en el manejo y contraste de bases </w:t>
            </w:r>
            <w:r>
              <w:rPr>
                <w:rFonts w:ascii="Arial" w:hAnsi="Arial" w:cs="Arial"/>
                <w:color w:val="000000"/>
                <w:sz w:val="20"/>
                <w:szCs w:val="20"/>
              </w:rPr>
              <w:t>de datos de comercio exterior.</w:t>
            </w:r>
          </w:p>
        </w:tc>
        <w:tc>
          <w:tcPr>
            <w:tcW w:w="2378"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Laboratorio digital guiado usando TradeMap, MACMap, RAMON y Veritrade.</w:t>
            </w:r>
          </w:p>
        </w:tc>
        <w:tc>
          <w:tcPr>
            <w:tcW w:w="2664"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Extrae y analiza datos estadísticos de exportación e importación del producto hacia el país destino.</w:t>
            </w:r>
          </w:p>
        </w:tc>
      </w:tr>
      <w:tr w:rsidR="001302D7">
        <w:trPr>
          <w:trHeight w:val="1039"/>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Caladea"/>
                <w:b/>
                <w:sz w:val="18"/>
                <w:szCs w:val="18"/>
              </w:rPr>
            </w:pPr>
          </w:p>
          <w:p w:rsidR="001302D7" w:rsidRDefault="001302D7">
            <w:pPr>
              <w:pStyle w:val="TableParagraph"/>
              <w:spacing w:before="2"/>
              <w:rPr>
                <w:rFonts w:ascii="Caladea"/>
                <w:b/>
                <w:sz w:val="18"/>
                <w:szCs w:val="18"/>
              </w:rPr>
            </w:pPr>
          </w:p>
          <w:p w:rsidR="001302D7" w:rsidRDefault="0046548E">
            <w:pPr>
              <w:pStyle w:val="TableParagraph"/>
              <w:ind w:right="365"/>
              <w:jc w:val="right"/>
              <w:rPr>
                <w:rFonts w:ascii="Carlito"/>
                <w:b/>
                <w:sz w:val="18"/>
                <w:szCs w:val="18"/>
                <w:lang w:val="es-PE"/>
              </w:rPr>
            </w:pPr>
            <w:r>
              <w:rPr>
                <w:rFonts w:ascii="Carlito"/>
                <w:b/>
                <w:sz w:val="18"/>
                <w:szCs w:val="18"/>
                <w:lang w:val="es-PE"/>
              </w:rPr>
              <w:t>11</w:t>
            </w:r>
          </w:p>
        </w:tc>
        <w:tc>
          <w:tcPr>
            <w:tcW w:w="3005"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 xml:space="preserve">Tributación internacional de no domiciliados </w:t>
            </w:r>
            <w:r>
              <w:rPr>
                <w:rFonts w:ascii="Arial" w:hAnsi="Arial" w:cs="Arial"/>
                <w:color w:val="000000"/>
                <w:sz w:val="20"/>
                <w:szCs w:val="20"/>
              </w:rPr>
              <w:t>según Arts. 55 al 57 de la LIR. Principios para evitar doble imposición.</w:t>
            </w:r>
          </w:p>
        </w:tc>
        <w:tc>
          <w:tcPr>
            <w:tcW w:w="2723"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lang w:val="es-PE"/>
              </w:rPr>
            </w:pPr>
            <w:r>
              <w:rPr>
                <w:rFonts w:ascii="Arial" w:hAnsi="Arial" w:cs="Arial"/>
                <w:color w:val="000000"/>
                <w:sz w:val="20"/>
                <w:szCs w:val="20"/>
              </w:rPr>
              <w:t>Resuelve ejercicios sobre criterios de vinculación, tasas de retención y créditos tributarios. Analiza régimen fiscal del producto en el país destino.</w:t>
            </w:r>
          </w:p>
        </w:tc>
        <w:tc>
          <w:tcPr>
            <w:tcW w:w="2829"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lang w:val="es-PE"/>
              </w:rPr>
            </w:pPr>
            <w:r>
              <w:rPr>
                <w:rFonts w:ascii="Arial" w:hAnsi="Arial" w:cs="Arial"/>
                <w:color w:val="000000"/>
                <w:sz w:val="20"/>
                <w:szCs w:val="20"/>
              </w:rPr>
              <w:t>Muestra responsabilidad en el cá</w:t>
            </w:r>
            <w:r>
              <w:rPr>
                <w:rFonts w:ascii="Arial" w:hAnsi="Arial" w:cs="Arial"/>
                <w:color w:val="000000"/>
                <w:sz w:val="20"/>
                <w:szCs w:val="20"/>
              </w:rPr>
              <w:t>lculo y análisis de obligaciones tributarias internacionales.</w:t>
            </w:r>
          </w:p>
        </w:tc>
        <w:tc>
          <w:tcPr>
            <w:tcW w:w="2378"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Aprendizaje basado en problemas, solución de casuística y consulta de normativas SUNAT/OCDE.</w:t>
            </w:r>
          </w:p>
        </w:tc>
        <w:tc>
          <w:tcPr>
            <w:tcW w:w="2664"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Evalúa las implicancias fiscales, retenciones y beneficios tributarios para la operación comercial.</w:t>
            </w:r>
          </w:p>
        </w:tc>
      </w:tr>
      <w:tr w:rsidR="001302D7">
        <w:trPr>
          <w:trHeight w:val="1305"/>
        </w:trPr>
        <w:tc>
          <w:tcPr>
            <w:tcW w:w="898" w:type="dxa"/>
            <w:vMerge/>
            <w:tcBorders>
              <w:top w:val="nil"/>
            </w:tcBorders>
            <w:textDirection w:val="btLr"/>
          </w:tcPr>
          <w:p w:rsidR="001302D7" w:rsidRDefault="001302D7">
            <w:pPr>
              <w:rPr>
                <w:sz w:val="18"/>
                <w:szCs w:val="18"/>
              </w:rPr>
            </w:pPr>
          </w:p>
        </w:tc>
        <w:tc>
          <w:tcPr>
            <w:tcW w:w="888" w:type="dxa"/>
          </w:tcPr>
          <w:p w:rsidR="001302D7" w:rsidRDefault="001302D7">
            <w:pPr>
              <w:pStyle w:val="TableParagraph"/>
              <w:rPr>
                <w:rFonts w:ascii="Caladea"/>
                <w:b/>
                <w:sz w:val="18"/>
                <w:szCs w:val="18"/>
              </w:rPr>
            </w:pPr>
          </w:p>
          <w:p w:rsidR="001302D7" w:rsidRDefault="0046548E">
            <w:pPr>
              <w:pStyle w:val="TableParagraph"/>
              <w:spacing w:before="143"/>
              <w:ind w:right="365"/>
              <w:jc w:val="right"/>
              <w:rPr>
                <w:rFonts w:ascii="Carlito"/>
                <w:b/>
                <w:sz w:val="18"/>
                <w:szCs w:val="18"/>
                <w:lang w:val="es-PE"/>
              </w:rPr>
            </w:pPr>
            <w:r>
              <w:rPr>
                <w:rFonts w:ascii="Carlito"/>
                <w:b/>
                <w:sz w:val="18"/>
                <w:szCs w:val="18"/>
                <w:lang w:val="es-PE"/>
              </w:rPr>
              <w:t>12</w:t>
            </w:r>
          </w:p>
        </w:tc>
        <w:tc>
          <w:tcPr>
            <w:tcW w:w="3005" w:type="dxa"/>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color w:val="000000"/>
                <w:sz w:val="20"/>
                <w:szCs w:val="20"/>
              </w:rPr>
            </w:pPr>
            <w:r>
              <w:rPr>
                <w:rFonts w:ascii="Arial" w:hAnsi="Arial" w:cs="Arial"/>
                <w:color w:val="000000"/>
                <w:sz w:val="20"/>
                <w:szCs w:val="20"/>
              </w:rPr>
              <w:t>Evaluación del Módulo III e Investigación del Producto en País Destino.</w:t>
            </w:r>
          </w:p>
          <w:p w:rsidR="001302D7" w:rsidRDefault="0046548E">
            <w:pPr>
              <w:pStyle w:val="NormalWeb"/>
              <w:spacing w:before="80" w:beforeAutospacing="0" w:after="80" w:afterAutospacing="0" w:line="15" w:lineRule="atLeast"/>
              <w:ind w:leftChars="100" w:left="220" w:rightChars="61" w:right="134"/>
              <w:jc w:val="both"/>
              <w:rPr>
                <w:rFonts w:ascii="Arial" w:hAnsi="Arial" w:cs="Arial"/>
                <w:color w:val="000000"/>
                <w:sz w:val="20"/>
                <w:szCs w:val="20"/>
                <w:lang w:val="es-PE"/>
              </w:rPr>
            </w:pPr>
            <w:r>
              <w:rPr>
                <w:rFonts w:ascii="Arial" w:hAnsi="Arial" w:cs="Arial"/>
                <w:color w:val="000000"/>
                <w:sz w:val="20"/>
                <w:szCs w:val="20"/>
                <w:lang w:val="es-PE"/>
              </w:rPr>
              <w:t xml:space="preserve">Visita Academica </w:t>
            </w:r>
          </w:p>
        </w:tc>
        <w:tc>
          <w:tcPr>
            <w:tcW w:w="2723" w:type="dxa"/>
            <w:gridSpan w:val="2"/>
            <w:tcBorders>
              <w:top w:val="single" w:sz="4" w:space="0" w:color="auto"/>
              <w:right w:val="nil"/>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Resuelve práctica calificada y presenta el Informe de Investigación del Producto en País Destino.</w:t>
            </w:r>
          </w:p>
        </w:tc>
        <w:tc>
          <w:tcPr>
            <w:tcW w:w="2829" w:type="dxa"/>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lang w:val="es-PE"/>
              </w:rPr>
            </w:pPr>
            <w:r>
              <w:rPr>
                <w:rFonts w:ascii="Arial" w:hAnsi="Arial" w:cs="Arial"/>
                <w:color w:val="000000"/>
                <w:sz w:val="20"/>
                <w:szCs w:val="20"/>
              </w:rPr>
              <w:t xml:space="preserve">Demuestra capacidad de trabajo en equipo, síntesis y rigor en </w:t>
            </w:r>
            <w:r>
              <w:rPr>
                <w:rFonts w:ascii="Arial" w:hAnsi="Arial" w:cs="Arial"/>
                <w:color w:val="000000"/>
                <w:sz w:val="20"/>
                <w:szCs w:val="20"/>
              </w:rPr>
              <w:t>la sustentación de resultados.</w:t>
            </w:r>
          </w:p>
        </w:tc>
        <w:tc>
          <w:tcPr>
            <w:tcW w:w="2378" w:type="dxa"/>
            <w:gridSpan w:val="2"/>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Práctica Calificada escrita y Exposición Grupal del Estudio del Producto en País Destino.</w:t>
            </w:r>
          </w:p>
        </w:tc>
        <w:tc>
          <w:tcPr>
            <w:tcW w:w="2664" w:type="dxa"/>
            <w:tcBorders>
              <w:top w:val="single" w:sz="4" w:space="0" w:color="auto"/>
            </w:tcBorders>
          </w:tcPr>
          <w:p w:rsidR="001302D7" w:rsidRDefault="0046548E">
            <w:pPr>
              <w:pStyle w:val="NormalWeb"/>
              <w:spacing w:before="80" w:beforeAutospacing="0" w:after="80" w:afterAutospacing="0" w:line="15" w:lineRule="atLeast"/>
              <w:ind w:leftChars="100" w:left="220" w:rightChars="61" w:right="134"/>
              <w:jc w:val="both"/>
              <w:rPr>
                <w:rFonts w:ascii="Arial" w:hAnsi="Arial" w:cs="Arial"/>
                <w:sz w:val="20"/>
                <w:szCs w:val="20"/>
              </w:rPr>
            </w:pPr>
            <w:r>
              <w:rPr>
                <w:rFonts w:ascii="Arial" w:hAnsi="Arial" w:cs="Arial"/>
                <w:color w:val="000000"/>
                <w:sz w:val="20"/>
                <w:szCs w:val="20"/>
              </w:rPr>
              <w:t>Sustenta la investigación comercial, arancelaria y tributaria del producto en el país destino.</w:t>
            </w:r>
          </w:p>
        </w:tc>
      </w:tr>
      <w:tr w:rsidR="001302D7">
        <w:trPr>
          <w:trHeight w:val="456"/>
        </w:trPr>
        <w:tc>
          <w:tcPr>
            <w:tcW w:w="898" w:type="dxa"/>
            <w:vMerge/>
            <w:tcBorders>
              <w:top w:val="nil"/>
            </w:tcBorders>
            <w:textDirection w:val="btLr"/>
          </w:tcPr>
          <w:p w:rsidR="001302D7" w:rsidRDefault="001302D7">
            <w:pPr>
              <w:rPr>
                <w:sz w:val="18"/>
                <w:szCs w:val="18"/>
              </w:rPr>
            </w:pPr>
          </w:p>
        </w:tc>
        <w:tc>
          <w:tcPr>
            <w:tcW w:w="888" w:type="dxa"/>
            <w:vMerge w:val="restart"/>
          </w:tcPr>
          <w:p w:rsidR="001302D7" w:rsidRDefault="001302D7">
            <w:pPr>
              <w:pStyle w:val="TableParagraph"/>
              <w:rPr>
                <w:rFonts w:ascii="Times New Roman"/>
                <w:sz w:val="18"/>
                <w:szCs w:val="18"/>
              </w:rPr>
            </w:pPr>
          </w:p>
        </w:tc>
        <w:tc>
          <w:tcPr>
            <w:tcW w:w="13599" w:type="dxa"/>
            <w:gridSpan w:val="7"/>
            <w:shd w:val="clear" w:color="auto" w:fill="DAEDF3"/>
          </w:tcPr>
          <w:p w:rsidR="001302D7" w:rsidRDefault="0046548E">
            <w:pPr>
              <w:pStyle w:val="TableParagraph"/>
              <w:spacing w:before="2"/>
              <w:ind w:left="4949" w:right="4627"/>
              <w:jc w:val="center"/>
              <w:rPr>
                <w:rFonts w:ascii="Carlito" w:hAnsi="Carlito"/>
                <w:b/>
                <w:sz w:val="18"/>
                <w:szCs w:val="18"/>
              </w:rPr>
            </w:pPr>
            <w:r>
              <w:rPr>
                <w:rFonts w:ascii="Carlito" w:hAnsi="Carlito"/>
                <w:b/>
                <w:sz w:val="18"/>
                <w:szCs w:val="18"/>
              </w:rPr>
              <w:t>EVALUACIÓN DE LA UNIDAD DIDÁCTICA</w:t>
            </w:r>
          </w:p>
        </w:tc>
      </w:tr>
      <w:tr w:rsidR="001302D7">
        <w:trPr>
          <w:trHeight w:val="455"/>
        </w:trPr>
        <w:tc>
          <w:tcPr>
            <w:tcW w:w="898" w:type="dxa"/>
            <w:vMerge/>
            <w:tcBorders>
              <w:top w:val="nil"/>
            </w:tcBorders>
            <w:textDirection w:val="btLr"/>
          </w:tcPr>
          <w:p w:rsidR="001302D7" w:rsidRDefault="001302D7">
            <w:pPr>
              <w:rPr>
                <w:sz w:val="18"/>
                <w:szCs w:val="18"/>
              </w:rPr>
            </w:pPr>
          </w:p>
        </w:tc>
        <w:tc>
          <w:tcPr>
            <w:tcW w:w="888" w:type="dxa"/>
            <w:vMerge/>
            <w:tcBorders>
              <w:top w:val="nil"/>
            </w:tcBorders>
          </w:tcPr>
          <w:p w:rsidR="001302D7" w:rsidRDefault="001302D7">
            <w:pPr>
              <w:rPr>
                <w:sz w:val="18"/>
                <w:szCs w:val="18"/>
              </w:rPr>
            </w:pPr>
          </w:p>
        </w:tc>
        <w:tc>
          <w:tcPr>
            <w:tcW w:w="3864" w:type="dxa"/>
            <w:gridSpan w:val="2"/>
            <w:shd w:val="clear" w:color="auto" w:fill="DAEDF3"/>
          </w:tcPr>
          <w:p w:rsidR="001302D7" w:rsidRDefault="0046548E">
            <w:pPr>
              <w:pStyle w:val="TableParagraph"/>
              <w:spacing w:before="1"/>
              <w:ind w:left="480"/>
              <w:rPr>
                <w:rFonts w:ascii="Carlito"/>
                <w:b/>
                <w:sz w:val="18"/>
                <w:szCs w:val="18"/>
              </w:rPr>
            </w:pPr>
            <w:r>
              <w:rPr>
                <w:rFonts w:ascii="Carlito"/>
                <w:b/>
                <w:sz w:val="18"/>
                <w:szCs w:val="18"/>
              </w:rPr>
              <w:t>EVIDENCIA DE CONOCIMIENTOS</w:t>
            </w:r>
          </w:p>
        </w:tc>
        <w:tc>
          <w:tcPr>
            <w:tcW w:w="4901" w:type="dxa"/>
            <w:gridSpan w:val="3"/>
            <w:shd w:val="clear" w:color="auto" w:fill="DAEDF3"/>
          </w:tcPr>
          <w:p w:rsidR="001302D7" w:rsidRDefault="0046548E">
            <w:pPr>
              <w:pStyle w:val="TableParagraph"/>
              <w:spacing w:before="1"/>
              <w:ind w:left="1307"/>
              <w:rPr>
                <w:rFonts w:ascii="Carlito"/>
                <w:b/>
                <w:sz w:val="18"/>
                <w:szCs w:val="18"/>
              </w:rPr>
            </w:pPr>
            <w:r>
              <w:rPr>
                <w:rFonts w:ascii="Carlito"/>
                <w:b/>
                <w:sz w:val="18"/>
                <w:szCs w:val="18"/>
              </w:rPr>
              <w:t>EVIDENCIA DE PRODUCTO</w:t>
            </w:r>
          </w:p>
        </w:tc>
        <w:tc>
          <w:tcPr>
            <w:tcW w:w="4834" w:type="dxa"/>
            <w:gridSpan w:val="2"/>
            <w:shd w:val="clear" w:color="auto" w:fill="DAEDF3"/>
          </w:tcPr>
          <w:p w:rsidR="001302D7" w:rsidRDefault="0046548E">
            <w:pPr>
              <w:pStyle w:val="TableParagraph"/>
              <w:spacing w:before="1"/>
              <w:ind w:left="1212"/>
              <w:rPr>
                <w:rFonts w:ascii="Carlito" w:hAnsi="Carlito"/>
                <w:b/>
                <w:sz w:val="18"/>
                <w:szCs w:val="18"/>
              </w:rPr>
            </w:pPr>
            <w:r>
              <w:rPr>
                <w:rFonts w:ascii="Carlito" w:hAnsi="Carlito"/>
                <w:b/>
                <w:sz w:val="18"/>
                <w:szCs w:val="18"/>
              </w:rPr>
              <w:t>EVIDENCIA DE DESEMPEÑO</w:t>
            </w:r>
          </w:p>
        </w:tc>
      </w:tr>
      <w:tr w:rsidR="001302D7">
        <w:trPr>
          <w:trHeight w:val="830"/>
        </w:trPr>
        <w:tc>
          <w:tcPr>
            <w:tcW w:w="898" w:type="dxa"/>
            <w:vMerge/>
            <w:tcBorders>
              <w:top w:val="nil"/>
            </w:tcBorders>
            <w:textDirection w:val="btLr"/>
          </w:tcPr>
          <w:p w:rsidR="001302D7" w:rsidRDefault="001302D7">
            <w:pPr>
              <w:rPr>
                <w:sz w:val="18"/>
                <w:szCs w:val="18"/>
              </w:rPr>
            </w:pPr>
          </w:p>
        </w:tc>
        <w:tc>
          <w:tcPr>
            <w:tcW w:w="888" w:type="dxa"/>
            <w:vMerge/>
            <w:tcBorders>
              <w:top w:val="nil"/>
            </w:tcBorders>
          </w:tcPr>
          <w:p w:rsidR="001302D7" w:rsidRDefault="001302D7">
            <w:pPr>
              <w:rPr>
                <w:sz w:val="18"/>
                <w:szCs w:val="18"/>
              </w:rPr>
            </w:pPr>
          </w:p>
        </w:tc>
        <w:tc>
          <w:tcPr>
            <w:tcW w:w="3864" w:type="dxa"/>
            <w:gridSpan w:val="2"/>
          </w:tcPr>
          <w:p w:rsidR="001302D7" w:rsidRDefault="0046548E">
            <w:pPr>
              <w:pStyle w:val="TableParagraph"/>
              <w:spacing w:before="5" w:line="276" w:lineRule="auto"/>
              <w:ind w:left="67" w:right="2169"/>
              <w:rPr>
                <w:sz w:val="18"/>
                <w:szCs w:val="18"/>
              </w:rPr>
            </w:pPr>
            <w:r>
              <w:rPr>
                <w:sz w:val="18"/>
                <w:szCs w:val="18"/>
              </w:rPr>
              <w:t>Estudios de casos Cuestionarios</w:t>
            </w:r>
          </w:p>
        </w:tc>
        <w:tc>
          <w:tcPr>
            <w:tcW w:w="4901" w:type="dxa"/>
            <w:gridSpan w:val="3"/>
          </w:tcPr>
          <w:p w:rsidR="001302D7" w:rsidRDefault="0046548E">
            <w:pPr>
              <w:pStyle w:val="TableParagraph"/>
              <w:spacing w:before="5" w:line="275" w:lineRule="exact"/>
              <w:ind w:left="68"/>
              <w:rPr>
                <w:sz w:val="18"/>
                <w:szCs w:val="18"/>
              </w:rPr>
            </w:pPr>
            <w:r>
              <w:rPr>
                <w:sz w:val="18"/>
                <w:szCs w:val="18"/>
              </w:rPr>
              <w:t>Trabajos individuales</w:t>
            </w:r>
          </w:p>
          <w:p w:rsidR="001302D7" w:rsidRDefault="0046548E">
            <w:pPr>
              <w:pStyle w:val="TableParagraph"/>
              <w:spacing w:before="5" w:line="274" w:lineRule="exact"/>
              <w:ind w:left="68" w:right="2899"/>
              <w:rPr>
                <w:sz w:val="18"/>
                <w:szCs w:val="18"/>
              </w:rPr>
            </w:pPr>
            <w:r>
              <w:rPr>
                <w:sz w:val="18"/>
                <w:szCs w:val="18"/>
              </w:rPr>
              <w:t>Trabajos grupales Solución de ejercicios</w:t>
            </w:r>
          </w:p>
        </w:tc>
        <w:tc>
          <w:tcPr>
            <w:tcW w:w="4834" w:type="dxa"/>
            <w:gridSpan w:val="2"/>
          </w:tcPr>
          <w:p w:rsidR="001302D7" w:rsidRDefault="0046548E">
            <w:pPr>
              <w:pStyle w:val="TableParagraph"/>
              <w:spacing w:before="5"/>
              <w:ind w:left="79"/>
              <w:rPr>
                <w:sz w:val="18"/>
                <w:szCs w:val="18"/>
              </w:rPr>
            </w:pPr>
            <w:r>
              <w:rPr>
                <w:sz w:val="18"/>
                <w:szCs w:val="18"/>
              </w:rPr>
              <w:t>Comportamiento en clase y evaluaciones</w:t>
            </w:r>
          </w:p>
        </w:tc>
      </w:tr>
    </w:tbl>
    <w:p w:rsidR="001302D7" w:rsidRDefault="001302D7">
      <w:pPr>
        <w:rPr>
          <w:sz w:val="24"/>
        </w:rPr>
        <w:sectPr w:rsidR="001302D7">
          <w:pgSz w:w="16840" w:h="11910" w:orient="landscape"/>
          <w:pgMar w:top="1100" w:right="600" w:bottom="280" w:left="620" w:header="720" w:footer="720" w:gutter="0"/>
          <w:cols w:space="720"/>
        </w:sectPr>
      </w:pPr>
    </w:p>
    <w:p w:rsidR="001302D7" w:rsidRDefault="001302D7">
      <w:pPr>
        <w:pStyle w:val="Textoindependiente"/>
        <w:spacing w:before="8"/>
        <w:rPr>
          <w:rFonts w:ascii="Caladea"/>
          <w:b/>
          <w:sz w:val="3"/>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6"/>
        <w:gridCol w:w="864"/>
        <w:gridCol w:w="2818"/>
        <w:gridCol w:w="1267"/>
        <w:gridCol w:w="1286"/>
        <w:gridCol w:w="2264"/>
        <w:gridCol w:w="1351"/>
        <w:gridCol w:w="1344"/>
        <w:gridCol w:w="3490"/>
      </w:tblGrid>
      <w:tr w:rsidR="001302D7">
        <w:trPr>
          <w:trHeight w:val="768"/>
        </w:trPr>
        <w:tc>
          <w:tcPr>
            <w:tcW w:w="706" w:type="dxa"/>
            <w:vMerge w:val="restart"/>
            <w:textDirection w:val="btLr"/>
            <w:vAlign w:val="center"/>
          </w:tcPr>
          <w:p w:rsidR="001302D7" w:rsidRDefault="0046548E">
            <w:pPr>
              <w:pStyle w:val="TableParagraph"/>
              <w:spacing w:before="79"/>
              <w:ind w:left="571"/>
              <w:jc w:val="center"/>
              <w:rPr>
                <w:rFonts w:ascii="Arial" w:hAnsi="Arial" w:cs="Arial"/>
                <w:b/>
                <w:i/>
                <w:sz w:val="20"/>
                <w:szCs w:val="20"/>
              </w:rPr>
            </w:pPr>
            <w:r>
              <w:rPr>
                <w:rFonts w:ascii="Arial" w:hAnsi="Arial" w:cs="Arial"/>
                <w:b/>
                <w:sz w:val="20"/>
                <w:szCs w:val="20"/>
              </w:rPr>
              <w:t xml:space="preserve">Unidad Didáctica IV: Modelos </w:t>
            </w:r>
            <w:r>
              <w:rPr>
                <w:rFonts w:ascii="Arial" w:hAnsi="Arial" w:cs="Arial"/>
                <w:b/>
                <w:sz w:val="20"/>
                <w:szCs w:val="20"/>
              </w:rPr>
              <w:t>de cdi con la república de chile y la decisión Nº 578 de la comunidad andina de naciones.</w:t>
            </w:r>
          </w:p>
        </w:tc>
        <w:tc>
          <w:tcPr>
            <w:tcW w:w="14684" w:type="dxa"/>
            <w:gridSpan w:val="8"/>
          </w:tcPr>
          <w:p w:rsidR="001302D7" w:rsidRDefault="0046548E">
            <w:pPr>
              <w:pStyle w:val="TableParagraph"/>
              <w:spacing w:line="278" w:lineRule="auto"/>
              <w:ind w:left="67" w:right="18"/>
              <w:rPr>
                <w:rFonts w:ascii="Arial" w:hAnsi="Arial" w:cs="Arial"/>
                <w:sz w:val="20"/>
                <w:szCs w:val="20"/>
              </w:rPr>
            </w:pPr>
            <w:r>
              <w:rPr>
                <w:rFonts w:ascii="Arial" w:hAnsi="Arial" w:cs="Arial"/>
                <w:b/>
                <w:sz w:val="20"/>
                <w:szCs w:val="20"/>
              </w:rPr>
              <w:t>CAPACIDAD DE LA UNIDAD DIDÁCTICA IV:</w:t>
            </w:r>
            <w:r>
              <w:rPr>
                <w:rFonts w:ascii="Arial" w:hAnsi="Arial" w:cs="Arial"/>
                <w:sz w:val="20"/>
                <w:szCs w:val="20"/>
              </w:rPr>
              <w:t xml:space="preserve"> </w:t>
            </w:r>
            <w:r>
              <w:rPr>
                <w:rFonts w:ascii="Arial" w:hAnsi="Arial" w:cs="Arial"/>
                <w:bCs/>
                <w:sz w:val="20"/>
                <w:szCs w:val="20"/>
              </w:rPr>
              <w:t>Analizar la decisión Nº 578 de la Comunidad Andina de Naciones y su impacto en la tributación internacional.</w:t>
            </w:r>
          </w:p>
        </w:tc>
      </w:tr>
      <w:tr w:rsidR="001302D7">
        <w:trPr>
          <w:trHeight w:val="508"/>
        </w:trPr>
        <w:tc>
          <w:tcPr>
            <w:tcW w:w="706" w:type="dxa"/>
            <w:vMerge/>
            <w:tcBorders>
              <w:top w:val="nil"/>
            </w:tcBorders>
            <w:textDirection w:val="btLr"/>
          </w:tcPr>
          <w:p w:rsidR="001302D7" w:rsidRDefault="001302D7">
            <w:pPr>
              <w:rPr>
                <w:sz w:val="20"/>
                <w:szCs w:val="20"/>
              </w:rPr>
            </w:pPr>
          </w:p>
        </w:tc>
        <w:tc>
          <w:tcPr>
            <w:tcW w:w="864" w:type="dxa"/>
            <w:vMerge w:val="restart"/>
            <w:shd w:val="clear" w:color="auto" w:fill="DAEDF3"/>
          </w:tcPr>
          <w:p w:rsidR="001302D7" w:rsidRDefault="001302D7">
            <w:pPr>
              <w:pStyle w:val="TableParagraph"/>
              <w:spacing w:before="5"/>
              <w:rPr>
                <w:rFonts w:ascii="Arial" w:hAnsi="Arial" w:cs="Arial"/>
                <w:b/>
                <w:sz w:val="20"/>
                <w:szCs w:val="20"/>
              </w:rPr>
            </w:pPr>
          </w:p>
          <w:p w:rsidR="001302D7" w:rsidRDefault="0046548E">
            <w:pPr>
              <w:pStyle w:val="TableParagraph"/>
              <w:ind w:left="67"/>
              <w:rPr>
                <w:rFonts w:ascii="Arial" w:hAnsi="Arial" w:cs="Arial"/>
                <w:b/>
                <w:sz w:val="20"/>
                <w:szCs w:val="20"/>
              </w:rPr>
            </w:pPr>
            <w:r>
              <w:rPr>
                <w:rFonts w:ascii="Arial" w:hAnsi="Arial" w:cs="Arial"/>
                <w:b/>
                <w:sz w:val="20"/>
                <w:szCs w:val="20"/>
              </w:rPr>
              <w:t>Semana</w:t>
            </w:r>
          </w:p>
        </w:tc>
        <w:tc>
          <w:tcPr>
            <w:tcW w:w="7635" w:type="dxa"/>
            <w:gridSpan w:val="4"/>
            <w:shd w:val="clear" w:color="auto" w:fill="DAEDF3"/>
          </w:tcPr>
          <w:p w:rsidR="001302D7" w:rsidRDefault="0046548E">
            <w:pPr>
              <w:pStyle w:val="TableParagraph"/>
              <w:spacing w:before="30"/>
              <w:ind w:left="3388" w:right="3065"/>
              <w:jc w:val="center"/>
              <w:rPr>
                <w:rFonts w:ascii="Arial" w:hAnsi="Arial" w:cs="Arial"/>
                <w:b/>
                <w:sz w:val="20"/>
                <w:szCs w:val="20"/>
              </w:rPr>
            </w:pPr>
            <w:r>
              <w:rPr>
                <w:rFonts w:ascii="Arial" w:hAnsi="Arial" w:cs="Arial"/>
                <w:b/>
                <w:sz w:val="20"/>
                <w:szCs w:val="20"/>
              </w:rPr>
              <w:t>Contenidos</w:t>
            </w:r>
          </w:p>
        </w:tc>
        <w:tc>
          <w:tcPr>
            <w:tcW w:w="2695" w:type="dxa"/>
            <w:gridSpan w:val="2"/>
            <w:vMerge w:val="restart"/>
            <w:shd w:val="clear" w:color="auto" w:fill="DAEDF3"/>
          </w:tcPr>
          <w:p w:rsidR="001302D7" w:rsidRDefault="0046548E">
            <w:pPr>
              <w:pStyle w:val="TableParagraph"/>
              <w:spacing w:before="93" w:line="276" w:lineRule="auto"/>
              <w:ind w:left="435" w:right="472" w:firstLine="14"/>
              <w:jc w:val="center"/>
              <w:rPr>
                <w:rFonts w:ascii="Arial" w:hAnsi="Arial" w:cs="Arial"/>
                <w:b/>
                <w:sz w:val="20"/>
                <w:szCs w:val="20"/>
              </w:rPr>
            </w:pPr>
            <w:r>
              <w:rPr>
                <w:rFonts w:ascii="Arial" w:hAnsi="Arial" w:cs="Arial"/>
                <w:b/>
                <w:sz w:val="18"/>
                <w:szCs w:val="18"/>
              </w:rPr>
              <w:t>Estrategias didácticas</w:t>
            </w:r>
          </w:p>
        </w:tc>
        <w:tc>
          <w:tcPr>
            <w:tcW w:w="3490" w:type="dxa"/>
            <w:vMerge w:val="restart"/>
            <w:shd w:val="clear" w:color="auto" w:fill="DAEDF3"/>
          </w:tcPr>
          <w:p w:rsidR="001302D7" w:rsidRDefault="0046548E">
            <w:pPr>
              <w:pStyle w:val="TableParagraph"/>
              <w:spacing w:before="93" w:line="276" w:lineRule="auto"/>
              <w:ind w:left="1245" w:right="429" w:hanging="783"/>
              <w:rPr>
                <w:rFonts w:ascii="Arial" w:hAnsi="Arial" w:cs="Arial"/>
                <w:b/>
                <w:sz w:val="20"/>
                <w:szCs w:val="20"/>
              </w:rPr>
            </w:pPr>
            <w:r>
              <w:rPr>
                <w:rFonts w:ascii="Arial" w:hAnsi="Arial" w:cs="Arial"/>
                <w:b/>
                <w:sz w:val="20"/>
                <w:szCs w:val="20"/>
              </w:rPr>
              <w:t>Indicadores de logro de la capacidad</w:t>
            </w:r>
          </w:p>
        </w:tc>
      </w:tr>
      <w:tr w:rsidR="001302D7">
        <w:trPr>
          <w:trHeight w:val="460"/>
        </w:trPr>
        <w:tc>
          <w:tcPr>
            <w:tcW w:w="706" w:type="dxa"/>
            <w:vMerge/>
            <w:tcBorders>
              <w:top w:val="nil"/>
            </w:tcBorders>
            <w:textDirection w:val="btLr"/>
          </w:tcPr>
          <w:p w:rsidR="001302D7" w:rsidRDefault="001302D7">
            <w:pPr>
              <w:rPr>
                <w:sz w:val="20"/>
                <w:szCs w:val="20"/>
              </w:rPr>
            </w:pPr>
          </w:p>
        </w:tc>
        <w:tc>
          <w:tcPr>
            <w:tcW w:w="864" w:type="dxa"/>
            <w:vMerge/>
            <w:tcBorders>
              <w:top w:val="nil"/>
            </w:tcBorders>
            <w:shd w:val="clear" w:color="auto" w:fill="DAEDF3"/>
          </w:tcPr>
          <w:p w:rsidR="001302D7" w:rsidRDefault="001302D7">
            <w:pPr>
              <w:rPr>
                <w:sz w:val="20"/>
                <w:szCs w:val="20"/>
              </w:rPr>
            </w:pPr>
          </w:p>
        </w:tc>
        <w:tc>
          <w:tcPr>
            <w:tcW w:w="2818" w:type="dxa"/>
            <w:shd w:val="clear" w:color="auto" w:fill="DAEDF3"/>
          </w:tcPr>
          <w:p w:rsidR="001302D7" w:rsidRDefault="0046548E">
            <w:pPr>
              <w:pStyle w:val="TableParagraph"/>
              <w:spacing w:before="1"/>
              <w:ind w:left="811"/>
              <w:rPr>
                <w:rFonts w:ascii="Arial" w:hAnsi="Arial" w:cs="Arial"/>
                <w:b/>
                <w:sz w:val="20"/>
                <w:szCs w:val="20"/>
              </w:rPr>
            </w:pPr>
            <w:r>
              <w:rPr>
                <w:rFonts w:ascii="Arial" w:hAnsi="Arial" w:cs="Arial"/>
                <w:b/>
                <w:sz w:val="20"/>
                <w:szCs w:val="20"/>
              </w:rPr>
              <w:t>Conceptual</w:t>
            </w:r>
          </w:p>
        </w:tc>
        <w:tc>
          <w:tcPr>
            <w:tcW w:w="2553" w:type="dxa"/>
            <w:gridSpan w:val="2"/>
            <w:shd w:val="clear" w:color="auto" w:fill="DAEDF3"/>
          </w:tcPr>
          <w:p w:rsidR="001302D7" w:rsidRDefault="0046548E">
            <w:pPr>
              <w:pStyle w:val="TableParagraph"/>
              <w:spacing w:before="1"/>
              <w:ind w:left="547"/>
              <w:rPr>
                <w:rFonts w:ascii="Arial" w:hAnsi="Arial" w:cs="Arial"/>
                <w:b/>
                <w:sz w:val="20"/>
                <w:szCs w:val="20"/>
              </w:rPr>
            </w:pPr>
            <w:r>
              <w:rPr>
                <w:rFonts w:ascii="Arial" w:hAnsi="Arial" w:cs="Arial"/>
                <w:b/>
                <w:sz w:val="20"/>
                <w:szCs w:val="20"/>
              </w:rPr>
              <w:t>Procedimental</w:t>
            </w:r>
          </w:p>
        </w:tc>
        <w:tc>
          <w:tcPr>
            <w:tcW w:w="2264" w:type="dxa"/>
            <w:shd w:val="clear" w:color="auto" w:fill="DAEDF3"/>
          </w:tcPr>
          <w:p w:rsidR="001302D7" w:rsidRDefault="0046548E">
            <w:pPr>
              <w:pStyle w:val="TableParagraph"/>
              <w:spacing w:before="1"/>
              <w:ind w:left="549"/>
              <w:rPr>
                <w:rFonts w:ascii="Arial" w:hAnsi="Arial" w:cs="Arial"/>
                <w:b/>
                <w:sz w:val="20"/>
                <w:szCs w:val="20"/>
              </w:rPr>
            </w:pPr>
            <w:r>
              <w:rPr>
                <w:rFonts w:ascii="Arial" w:hAnsi="Arial" w:cs="Arial"/>
                <w:b/>
                <w:sz w:val="20"/>
                <w:szCs w:val="20"/>
              </w:rPr>
              <w:t>Actitudinal</w:t>
            </w:r>
          </w:p>
        </w:tc>
        <w:tc>
          <w:tcPr>
            <w:tcW w:w="2695" w:type="dxa"/>
            <w:gridSpan w:val="2"/>
            <w:vMerge/>
            <w:tcBorders>
              <w:top w:val="nil"/>
            </w:tcBorders>
            <w:shd w:val="clear" w:color="auto" w:fill="DAEDF3"/>
          </w:tcPr>
          <w:p w:rsidR="001302D7" w:rsidRDefault="001302D7">
            <w:pPr>
              <w:rPr>
                <w:sz w:val="20"/>
                <w:szCs w:val="20"/>
              </w:rPr>
            </w:pPr>
          </w:p>
        </w:tc>
        <w:tc>
          <w:tcPr>
            <w:tcW w:w="3490" w:type="dxa"/>
            <w:vMerge/>
            <w:tcBorders>
              <w:top w:val="nil"/>
            </w:tcBorders>
            <w:shd w:val="clear" w:color="auto" w:fill="DAEDF3"/>
          </w:tcPr>
          <w:p w:rsidR="001302D7" w:rsidRDefault="001302D7">
            <w:pPr>
              <w:rPr>
                <w:sz w:val="20"/>
                <w:szCs w:val="20"/>
              </w:rPr>
            </w:pPr>
          </w:p>
        </w:tc>
      </w:tr>
      <w:tr w:rsidR="001302D7">
        <w:trPr>
          <w:trHeight w:val="885"/>
        </w:trPr>
        <w:tc>
          <w:tcPr>
            <w:tcW w:w="706" w:type="dxa"/>
            <w:vMerge/>
            <w:tcBorders>
              <w:top w:val="nil"/>
            </w:tcBorders>
            <w:textDirection w:val="btLr"/>
          </w:tcPr>
          <w:p w:rsidR="001302D7" w:rsidRDefault="001302D7">
            <w:pPr>
              <w:rPr>
                <w:sz w:val="20"/>
                <w:szCs w:val="20"/>
              </w:rPr>
            </w:pPr>
          </w:p>
        </w:tc>
        <w:tc>
          <w:tcPr>
            <w:tcW w:w="864" w:type="dxa"/>
          </w:tcPr>
          <w:p w:rsidR="001302D7" w:rsidRDefault="001302D7">
            <w:pPr>
              <w:pStyle w:val="TableParagraph"/>
              <w:rPr>
                <w:rFonts w:ascii="Arial" w:hAnsi="Arial" w:cs="Arial"/>
                <w:b/>
                <w:sz w:val="20"/>
                <w:szCs w:val="20"/>
              </w:rPr>
            </w:pPr>
          </w:p>
          <w:p w:rsidR="001302D7" w:rsidRDefault="0046548E">
            <w:pPr>
              <w:pStyle w:val="TableParagraph"/>
              <w:spacing w:before="167"/>
              <w:ind w:left="16"/>
              <w:jc w:val="center"/>
              <w:rPr>
                <w:rFonts w:ascii="Arial" w:hAnsi="Arial" w:cs="Arial"/>
                <w:b/>
                <w:sz w:val="20"/>
                <w:szCs w:val="20"/>
                <w:lang w:val="es-PE"/>
              </w:rPr>
            </w:pPr>
            <w:r>
              <w:rPr>
                <w:rFonts w:ascii="Arial" w:hAnsi="Arial" w:cs="Arial"/>
                <w:b/>
                <w:sz w:val="20"/>
                <w:szCs w:val="20"/>
                <w:lang w:val="es-PE"/>
              </w:rPr>
              <w:t>13</w:t>
            </w:r>
          </w:p>
        </w:tc>
        <w:tc>
          <w:tcPr>
            <w:tcW w:w="2818" w:type="dxa"/>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Comunidad Andina de Naciones (CAN). MERCOSUR y Acuerdos Complementarios ALADI.</w:t>
            </w:r>
          </w:p>
        </w:tc>
        <w:tc>
          <w:tcPr>
            <w:tcW w:w="2553" w:type="dxa"/>
            <w:gridSpan w:val="2"/>
          </w:tcPr>
          <w:p w:rsidR="001302D7" w:rsidRDefault="0046548E">
            <w:pPr>
              <w:pStyle w:val="NormalWeb"/>
              <w:spacing w:before="80" w:beforeAutospacing="0" w:after="80" w:afterAutospacing="0" w:line="15" w:lineRule="atLeast"/>
              <w:ind w:leftChars="100" w:left="220" w:rightChars="76" w:right="167"/>
              <w:jc w:val="both"/>
              <w:rPr>
                <w:rFonts w:ascii="Arial" w:hAnsi="Arial" w:cs="Arial"/>
                <w:bCs/>
                <w:sz w:val="20"/>
                <w:szCs w:val="20"/>
              </w:rPr>
            </w:pPr>
            <w:r>
              <w:rPr>
                <w:rFonts w:ascii="Arial" w:hAnsi="Arial" w:cs="Arial"/>
                <w:color w:val="000000"/>
                <w:sz w:val="20"/>
                <w:szCs w:val="20"/>
              </w:rPr>
              <w:t xml:space="preserve">Analiza ventajas y desventajas de los procesos de integración </w:t>
            </w:r>
            <w:r>
              <w:rPr>
                <w:rFonts w:ascii="Arial" w:hAnsi="Arial" w:cs="Arial"/>
                <w:color w:val="000000"/>
                <w:sz w:val="20"/>
                <w:szCs w:val="20"/>
              </w:rPr>
              <w:t>regional en Latinoamérica.</w:t>
            </w:r>
          </w:p>
        </w:tc>
        <w:tc>
          <w:tcPr>
            <w:tcW w:w="2264" w:type="dxa"/>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Valora la integración regional como estrategia para la competitividad de las MIPYMES.</w:t>
            </w:r>
          </w:p>
        </w:tc>
        <w:tc>
          <w:tcPr>
            <w:tcW w:w="2695" w:type="dxa"/>
            <w:gridSpan w:val="2"/>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Exposición dialogada, debate dirigido y uso de portales CAN y ALADI.</w:t>
            </w:r>
          </w:p>
        </w:tc>
        <w:tc>
          <w:tcPr>
            <w:tcW w:w="3490" w:type="dxa"/>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Explica el rol de los bloques económicos regionales en el comercio exterio</w:t>
            </w:r>
            <w:r>
              <w:rPr>
                <w:rFonts w:ascii="Arial" w:hAnsi="Arial" w:cs="Arial"/>
                <w:color w:val="000000"/>
                <w:sz w:val="20"/>
                <w:szCs w:val="20"/>
              </w:rPr>
              <w:t>r.</w:t>
            </w:r>
          </w:p>
        </w:tc>
      </w:tr>
      <w:tr w:rsidR="001302D7">
        <w:trPr>
          <w:trHeight w:val="1377"/>
        </w:trPr>
        <w:tc>
          <w:tcPr>
            <w:tcW w:w="706" w:type="dxa"/>
            <w:vMerge/>
            <w:tcBorders>
              <w:top w:val="nil"/>
            </w:tcBorders>
            <w:textDirection w:val="btLr"/>
          </w:tcPr>
          <w:p w:rsidR="001302D7" w:rsidRDefault="001302D7">
            <w:pPr>
              <w:rPr>
                <w:sz w:val="20"/>
                <w:szCs w:val="20"/>
              </w:rPr>
            </w:pPr>
          </w:p>
        </w:tc>
        <w:tc>
          <w:tcPr>
            <w:tcW w:w="864" w:type="dxa"/>
          </w:tcPr>
          <w:p w:rsidR="001302D7" w:rsidRDefault="001302D7">
            <w:pPr>
              <w:pStyle w:val="TableParagraph"/>
              <w:rPr>
                <w:rFonts w:ascii="Arial" w:hAnsi="Arial" w:cs="Arial"/>
                <w:b/>
                <w:sz w:val="20"/>
                <w:szCs w:val="20"/>
              </w:rPr>
            </w:pPr>
          </w:p>
          <w:p w:rsidR="001302D7" w:rsidRDefault="0046548E">
            <w:pPr>
              <w:pStyle w:val="TableParagraph"/>
              <w:spacing w:before="181"/>
              <w:ind w:left="16"/>
              <w:jc w:val="center"/>
              <w:rPr>
                <w:rFonts w:ascii="Arial" w:hAnsi="Arial" w:cs="Arial"/>
                <w:b/>
                <w:sz w:val="20"/>
                <w:szCs w:val="20"/>
                <w:lang w:val="es-PE"/>
              </w:rPr>
            </w:pPr>
            <w:r>
              <w:rPr>
                <w:rFonts w:ascii="Arial" w:hAnsi="Arial" w:cs="Arial"/>
                <w:b/>
                <w:sz w:val="20"/>
                <w:szCs w:val="20"/>
                <w:lang w:val="es-PE"/>
              </w:rPr>
              <w:t>14</w:t>
            </w:r>
          </w:p>
        </w:tc>
        <w:tc>
          <w:tcPr>
            <w:tcW w:w="2818"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Foro de Cooperación Económica Asia-Pacífico (APEC). Facilitación del comercio y megapuertos (Chancay).</w:t>
            </w:r>
          </w:p>
        </w:tc>
        <w:tc>
          <w:tcPr>
            <w:tcW w:w="2553"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Analiza la participación del Perú en APEC y las facilidades logísticas en la Cuenca del Pacífico.</w:t>
            </w:r>
          </w:p>
        </w:tc>
        <w:tc>
          <w:tcPr>
            <w:tcW w:w="2264"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 xml:space="preserve">Valora la importancia de la cooperación </w:t>
            </w:r>
            <w:r>
              <w:rPr>
                <w:rFonts w:ascii="Arial" w:hAnsi="Arial" w:cs="Arial"/>
                <w:color w:val="000000"/>
                <w:sz w:val="20"/>
                <w:szCs w:val="20"/>
              </w:rPr>
              <w:t>económica internacional y la infraestructura logística.</w:t>
            </w:r>
          </w:p>
        </w:tc>
        <w:tc>
          <w:tcPr>
            <w:tcW w:w="2695"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Lecturas analíticas, discusiones guiadas y revisión de publicaciones de APEC Perú.</w:t>
            </w:r>
          </w:p>
        </w:tc>
        <w:tc>
          <w:tcPr>
            <w:tcW w:w="3490"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Describe los beneficios del foro APEC y proyectos de infraestructura para el comercio del Perú.</w:t>
            </w:r>
          </w:p>
        </w:tc>
      </w:tr>
      <w:tr w:rsidR="001302D7">
        <w:trPr>
          <w:trHeight w:val="1118"/>
        </w:trPr>
        <w:tc>
          <w:tcPr>
            <w:tcW w:w="706" w:type="dxa"/>
            <w:vMerge/>
            <w:tcBorders>
              <w:top w:val="nil"/>
            </w:tcBorders>
            <w:textDirection w:val="btLr"/>
          </w:tcPr>
          <w:p w:rsidR="001302D7" w:rsidRDefault="001302D7">
            <w:pPr>
              <w:rPr>
                <w:sz w:val="20"/>
                <w:szCs w:val="20"/>
              </w:rPr>
            </w:pPr>
          </w:p>
        </w:tc>
        <w:tc>
          <w:tcPr>
            <w:tcW w:w="864" w:type="dxa"/>
          </w:tcPr>
          <w:p w:rsidR="001302D7" w:rsidRDefault="001302D7">
            <w:pPr>
              <w:pStyle w:val="TableParagraph"/>
              <w:spacing w:before="4"/>
              <w:rPr>
                <w:rFonts w:ascii="Arial" w:hAnsi="Arial" w:cs="Arial"/>
                <w:b/>
                <w:sz w:val="20"/>
                <w:szCs w:val="20"/>
              </w:rPr>
            </w:pPr>
          </w:p>
          <w:p w:rsidR="001302D7" w:rsidRDefault="0046548E">
            <w:pPr>
              <w:pStyle w:val="TableParagraph"/>
              <w:ind w:left="16"/>
              <w:jc w:val="center"/>
              <w:rPr>
                <w:rFonts w:ascii="Arial" w:hAnsi="Arial" w:cs="Arial"/>
                <w:b/>
                <w:sz w:val="20"/>
                <w:szCs w:val="20"/>
                <w:lang w:val="es-PE"/>
              </w:rPr>
            </w:pPr>
            <w:r>
              <w:rPr>
                <w:rFonts w:ascii="Arial" w:hAnsi="Arial" w:cs="Arial"/>
                <w:b/>
                <w:sz w:val="20"/>
                <w:szCs w:val="20"/>
                <w:lang w:val="es-PE"/>
              </w:rPr>
              <w:t>15</w:t>
            </w:r>
          </w:p>
        </w:tc>
        <w:tc>
          <w:tcPr>
            <w:tcW w:w="2818"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Decisión 578 de</w:t>
            </w:r>
            <w:r>
              <w:rPr>
                <w:rFonts w:ascii="Arial" w:hAnsi="Arial" w:cs="Arial"/>
                <w:color w:val="000000"/>
                <w:sz w:val="20"/>
                <w:szCs w:val="20"/>
              </w:rPr>
              <w:t xml:space="preserve"> la CAN para evitar la doble tributación. Convenio CDI Perú – Chile.</w:t>
            </w:r>
          </w:p>
        </w:tc>
        <w:tc>
          <w:tcPr>
            <w:tcW w:w="2553"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bCs/>
                <w:sz w:val="20"/>
                <w:szCs w:val="20"/>
              </w:rPr>
            </w:pPr>
            <w:r>
              <w:rPr>
                <w:rFonts w:ascii="Arial" w:hAnsi="Arial" w:cs="Arial"/>
                <w:color w:val="000000"/>
                <w:sz w:val="20"/>
                <w:szCs w:val="20"/>
              </w:rPr>
              <w:t>Aplica los mecanismos de la Decisión 578 y del CDI Perú-Chile en casos tributarios internacionales.</w:t>
            </w:r>
          </w:p>
        </w:tc>
        <w:tc>
          <w:tcPr>
            <w:tcW w:w="2264"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 xml:space="preserve">Respeta opiniones y demuestra precisión en el análisis de normativas tributarias </w:t>
            </w:r>
            <w:r>
              <w:rPr>
                <w:rFonts w:ascii="Arial" w:hAnsi="Arial" w:cs="Arial"/>
                <w:color w:val="000000"/>
                <w:sz w:val="20"/>
                <w:szCs w:val="20"/>
              </w:rPr>
              <w:t>regionales.</w:t>
            </w:r>
          </w:p>
        </w:tc>
        <w:tc>
          <w:tcPr>
            <w:tcW w:w="2695" w:type="dxa"/>
            <w:gridSpan w:val="2"/>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sz w:val="20"/>
                <w:szCs w:val="20"/>
              </w:rPr>
            </w:pPr>
            <w:r>
              <w:rPr>
                <w:rFonts w:ascii="Arial" w:hAnsi="Arial" w:cs="Arial"/>
                <w:color w:val="000000"/>
                <w:sz w:val="20"/>
                <w:szCs w:val="20"/>
              </w:rPr>
              <w:t>Taller práctico de casos tributarios y análisis de resoluciones SUNAT y tribunales fiscales.</w:t>
            </w:r>
          </w:p>
        </w:tc>
        <w:tc>
          <w:tcPr>
            <w:tcW w:w="3490" w:type="dxa"/>
            <w:tcBorders>
              <w:top w:val="single" w:sz="4" w:space="0" w:color="auto"/>
              <w:bottom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Aplica correctamente los criterios de la Decisión 578 CAN y CDI Chile para evitar la doble tributación.</w:t>
            </w:r>
          </w:p>
        </w:tc>
      </w:tr>
      <w:tr w:rsidR="001302D7">
        <w:trPr>
          <w:trHeight w:val="1305"/>
        </w:trPr>
        <w:tc>
          <w:tcPr>
            <w:tcW w:w="706" w:type="dxa"/>
            <w:vMerge/>
            <w:tcBorders>
              <w:top w:val="nil"/>
            </w:tcBorders>
            <w:textDirection w:val="btLr"/>
          </w:tcPr>
          <w:p w:rsidR="001302D7" w:rsidRDefault="001302D7">
            <w:pPr>
              <w:rPr>
                <w:sz w:val="20"/>
                <w:szCs w:val="20"/>
              </w:rPr>
            </w:pPr>
          </w:p>
        </w:tc>
        <w:tc>
          <w:tcPr>
            <w:tcW w:w="864" w:type="dxa"/>
          </w:tcPr>
          <w:p w:rsidR="001302D7" w:rsidRDefault="001302D7">
            <w:pPr>
              <w:pStyle w:val="TableParagraph"/>
              <w:rPr>
                <w:rFonts w:ascii="Arial" w:hAnsi="Arial" w:cs="Arial"/>
                <w:b/>
                <w:sz w:val="20"/>
                <w:szCs w:val="20"/>
              </w:rPr>
            </w:pPr>
          </w:p>
          <w:p w:rsidR="001302D7" w:rsidRDefault="0046548E">
            <w:pPr>
              <w:pStyle w:val="TableParagraph"/>
              <w:spacing w:before="147"/>
              <w:ind w:left="16"/>
              <w:jc w:val="center"/>
              <w:rPr>
                <w:rFonts w:ascii="Arial" w:hAnsi="Arial" w:cs="Arial"/>
                <w:b/>
                <w:sz w:val="20"/>
                <w:szCs w:val="20"/>
                <w:lang w:val="es-PE"/>
              </w:rPr>
            </w:pPr>
            <w:r>
              <w:rPr>
                <w:rFonts w:ascii="Arial" w:hAnsi="Arial" w:cs="Arial"/>
                <w:b/>
                <w:sz w:val="20"/>
                <w:szCs w:val="20"/>
                <w:lang w:val="es-PE"/>
              </w:rPr>
              <w:t>16</w:t>
            </w:r>
          </w:p>
        </w:tc>
        <w:tc>
          <w:tcPr>
            <w:tcW w:w="2818" w:type="dxa"/>
            <w:tcBorders>
              <w:top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eastAsia="Liberation Sans Narrow"/>
                <w:sz w:val="20"/>
                <w:szCs w:val="20"/>
              </w:rPr>
            </w:pPr>
            <w:r>
              <w:rPr>
                <w:rFonts w:ascii="Arial" w:hAnsi="Arial" w:cs="Arial"/>
                <w:color w:val="000000"/>
                <w:sz w:val="20"/>
                <w:szCs w:val="20"/>
              </w:rPr>
              <w:t xml:space="preserve">Evaluación Final e Integración del </w:t>
            </w:r>
            <w:r>
              <w:rPr>
                <w:rFonts w:ascii="Arial" w:hAnsi="Arial" w:cs="Arial"/>
                <w:color w:val="000000"/>
                <w:sz w:val="20"/>
                <w:szCs w:val="20"/>
              </w:rPr>
              <w:t>Proyecto de Investigación.</w:t>
            </w:r>
          </w:p>
        </w:tc>
        <w:tc>
          <w:tcPr>
            <w:tcW w:w="2553" w:type="dxa"/>
            <w:gridSpan w:val="2"/>
            <w:tcBorders>
              <w:top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Expone los temas de bloques regionales y sustenta el proyecto final consolidado de investigación.</w:t>
            </w:r>
          </w:p>
        </w:tc>
        <w:tc>
          <w:tcPr>
            <w:tcW w:w="2264" w:type="dxa"/>
            <w:tcBorders>
              <w:top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Muestra profesionalismo, ética y capacidad técnica en la sustentación final ante jurado.</w:t>
            </w:r>
          </w:p>
        </w:tc>
        <w:tc>
          <w:tcPr>
            <w:tcW w:w="2695" w:type="dxa"/>
            <w:gridSpan w:val="2"/>
            <w:tcBorders>
              <w:top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sz w:val="20"/>
                <w:szCs w:val="20"/>
              </w:rPr>
            </w:pPr>
            <w:r>
              <w:rPr>
                <w:rFonts w:ascii="Arial" w:hAnsi="Arial" w:cs="Arial"/>
                <w:color w:val="000000"/>
                <w:sz w:val="20"/>
                <w:szCs w:val="20"/>
              </w:rPr>
              <w:t>Exposición Final de Bloques/Convenios y Su</w:t>
            </w:r>
            <w:r>
              <w:rPr>
                <w:rFonts w:ascii="Arial" w:hAnsi="Arial" w:cs="Arial"/>
                <w:color w:val="000000"/>
                <w:sz w:val="20"/>
                <w:szCs w:val="20"/>
              </w:rPr>
              <w:t>stentación Oral del Proyecto Consolidado.</w:t>
            </w:r>
          </w:p>
        </w:tc>
        <w:tc>
          <w:tcPr>
            <w:tcW w:w="3490" w:type="dxa"/>
            <w:tcBorders>
              <w:top w:val="single" w:sz="4" w:space="0" w:color="auto"/>
            </w:tcBorders>
          </w:tcPr>
          <w:p w:rsidR="001302D7" w:rsidRDefault="0046548E">
            <w:pPr>
              <w:pStyle w:val="NormalWeb"/>
              <w:spacing w:before="80" w:beforeAutospacing="0" w:after="80" w:afterAutospacing="0" w:line="15" w:lineRule="atLeast"/>
              <w:ind w:leftChars="100" w:left="220" w:rightChars="76" w:right="167"/>
              <w:jc w:val="both"/>
              <w:rPr>
                <w:rFonts w:ascii="Arial" w:hAnsi="Arial" w:cs="Arial"/>
                <w:sz w:val="20"/>
                <w:szCs w:val="20"/>
              </w:rPr>
            </w:pPr>
            <w:r>
              <w:rPr>
                <w:rFonts w:ascii="Arial" w:hAnsi="Arial" w:cs="Arial"/>
                <w:color w:val="000000"/>
                <w:sz w:val="20"/>
                <w:szCs w:val="20"/>
              </w:rPr>
              <w:t>Demuestra dominio de las competencias del curso sustentando el proyecto integral consolidado.</w:t>
            </w:r>
          </w:p>
        </w:tc>
      </w:tr>
      <w:tr w:rsidR="001302D7">
        <w:trPr>
          <w:trHeight w:val="455"/>
        </w:trPr>
        <w:tc>
          <w:tcPr>
            <w:tcW w:w="706" w:type="dxa"/>
            <w:vMerge/>
            <w:tcBorders>
              <w:top w:val="nil"/>
            </w:tcBorders>
            <w:textDirection w:val="btLr"/>
          </w:tcPr>
          <w:p w:rsidR="001302D7" w:rsidRDefault="001302D7">
            <w:pPr>
              <w:rPr>
                <w:sz w:val="20"/>
                <w:szCs w:val="20"/>
              </w:rPr>
            </w:pPr>
          </w:p>
        </w:tc>
        <w:tc>
          <w:tcPr>
            <w:tcW w:w="864" w:type="dxa"/>
            <w:vMerge w:val="restart"/>
          </w:tcPr>
          <w:p w:rsidR="001302D7" w:rsidRDefault="001302D7">
            <w:pPr>
              <w:pStyle w:val="TableParagraph"/>
              <w:rPr>
                <w:rFonts w:ascii="Arial" w:hAnsi="Arial" w:cs="Arial"/>
                <w:sz w:val="20"/>
                <w:szCs w:val="20"/>
              </w:rPr>
            </w:pPr>
          </w:p>
        </w:tc>
        <w:tc>
          <w:tcPr>
            <w:tcW w:w="13820" w:type="dxa"/>
            <w:gridSpan w:val="7"/>
            <w:shd w:val="clear" w:color="auto" w:fill="DAEDF3"/>
          </w:tcPr>
          <w:p w:rsidR="001302D7" w:rsidRDefault="0046548E">
            <w:pPr>
              <w:pStyle w:val="TableParagraph"/>
              <w:spacing w:before="1"/>
              <w:ind w:left="5059" w:right="4737"/>
              <w:jc w:val="center"/>
              <w:rPr>
                <w:rFonts w:ascii="Arial" w:hAnsi="Arial" w:cs="Arial"/>
                <w:b/>
                <w:sz w:val="20"/>
                <w:szCs w:val="20"/>
              </w:rPr>
            </w:pPr>
            <w:r>
              <w:rPr>
                <w:rFonts w:ascii="Arial" w:hAnsi="Arial" w:cs="Arial"/>
                <w:b/>
                <w:sz w:val="20"/>
                <w:szCs w:val="20"/>
              </w:rPr>
              <w:t>EVALUACIÓN DE LA UNIDAD DIDÁCTICA</w:t>
            </w:r>
          </w:p>
        </w:tc>
      </w:tr>
      <w:tr w:rsidR="001302D7">
        <w:trPr>
          <w:trHeight w:val="460"/>
        </w:trPr>
        <w:tc>
          <w:tcPr>
            <w:tcW w:w="706" w:type="dxa"/>
            <w:vMerge/>
            <w:tcBorders>
              <w:top w:val="nil"/>
            </w:tcBorders>
            <w:textDirection w:val="btLr"/>
          </w:tcPr>
          <w:p w:rsidR="001302D7" w:rsidRDefault="001302D7">
            <w:pPr>
              <w:rPr>
                <w:sz w:val="20"/>
                <w:szCs w:val="20"/>
              </w:rPr>
            </w:pPr>
          </w:p>
        </w:tc>
        <w:tc>
          <w:tcPr>
            <w:tcW w:w="864" w:type="dxa"/>
            <w:vMerge/>
            <w:tcBorders>
              <w:top w:val="nil"/>
            </w:tcBorders>
          </w:tcPr>
          <w:p w:rsidR="001302D7" w:rsidRDefault="001302D7">
            <w:pPr>
              <w:rPr>
                <w:sz w:val="20"/>
                <w:szCs w:val="20"/>
              </w:rPr>
            </w:pPr>
          </w:p>
        </w:tc>
        <w:tc>
          <w:tcPr>
            <w:tcW w:w="4085" w:type="dxa"/>
            <w:gridSpan w:val="2"/>
            <w:shd w:val="clear" w:color="auto" w:fill="DAEDF3"/>
          </w:tcPr>
          <w:p w:rsidR="001302D7" w:rsidRDefault="0046548E">
            <w:pPr>
              <w:pStyle w:val="TableParagraph"/>
              <w:spacing w:before="1"/>
              <w:ind w:left="595"/>
              <w:rPr>
                <w:rFonts w:ascii="Arial" w:hAnsi="Arial" w:cs="Arial"/>
                <w:b/>
                <w:sz w:val="20"/>
                <w:szCs w:val="20"/>
              </w:rPr>
            </w:pPr>
            <w:r>
              <w:rPr>
                <w:rFonts w:ascii="Arial" w:hAnsi="Arial" w:cs="Arial"/>
                <w:b/>
                <w:sz w:val="20"/>
                <w:szCs w:val="20"/>
              </w:rPr>
              <w:t>EVIDENCIA DE CONOCIMIENTOS</w:t>
            </w:r>
          </w:p>
        </w:tc>
        <w:tc>
          <w:tcPr>
            <w:tcW w:w="4901" w:type="dxa"/>
            <w:gridSpan w:val="3"/>
            <w:shd w:val="clear" w:color="auto" w:fill="DAEDF3"/>
          </w:tcPr>
          <w:p w:rsidR="001302D7" w:rsidRDefault="0046548E">
            <w:pPr>
              <w:pStyle w:val="TableParagraph"/>
              <w:spacing w:before="1"/>
              <w:ind w:left="1306"/>
              <w:rPr>
                <w:rFonts w:ascii="Arial" w:hAnsi="Arial" w:cs="Arial"/>
                <w:b/>
                <w:sz w:val="20"/>
                <w:szCs w:val="20"/>
              </w:rPr>
            </w:pPr>
            <w:r>
              <w:rPr>
                <w:rFonts w:ascii="Arial" w:hAnsi="Arial" w:cs="Arial"/>
                <w:b/>
                <w:sz w:val="20"/>
                <w:szCs w:val="20"/>
              </w:rPr>
              <w:t>EVIDENCIA DE PRODUCTO</w:t>
            </w:r>
          </w:p>
        </w:tc>
        <w:tc>
          <w:tcPr>
            <w:tcW w:w="4834" w:type="dxa"/>
            <w:gridSpan w:val="2"/>
            <w:shd w:val="clear" w:color="auto" w:fill="DAEDF3"/>
          </w:tcPr>
          <w:p w:rsidR="001302D7" w:rsidRDefault="0046548E">
            <w:pPr>
              <w:pStyle w:val="TableParagraph"/>
              <w:spacing w:before="1"/>
              <w:ind w:left="1207"/>
              <w:rPr>
                <w:rFonts w:ascii="Arial" w:hAnsi="Arial" w:cs="Arial"/>
                <w:b/>
                <w:sz w:val="20"/>
                <w:szCs w:val="20"/>
              </w:rPr>
            </w:pPr>
            <w:r>
              <w:rPr>
                <w:rFonts w:ascii="Arial" w:hAnsi="Arial" w:cs="Arial"/>
                <w:b/>
                <w:sz w:val="20"/>
                <w:szCs w:val="20"/>
              </w:rPr>
              <w:t>EVIDENCIA DE DESEMPEÑO</w:t>
            </w:r>
          </w:p>
        </w:tc>
      </w:tr>
      <w:tr w:rsidR="001302D7">
        <w:trPr>
          <w:trHeight w:val="825"/>
        </w:trPr>
        <w:tc>
          <w:tcPr>
            <w:tcW w:w="706" w:type="dxa"/>
            <w:vMerge/>
            <w:tcBorders>
              <w:top w:val="nil"/>
            </w:tcBorders>
            <w:textDirection w:val="btLr"/>
          </w:tcPr>
          <w:p w:rsidR="001302D7" w:rsidRDefault="001302D7">
            <w:pPr>
              <w:rPr>
                <w:sz w:val="20"/>
                <w:szCs w:val="20"/>
              </w:rPr>
            </w:pPr>
          </w:p>
        </w:tc>
        <w:tc>
          <w:tcPr>
            <w:tcW w:w="864" w:type="dxa"/>
            <w:vMerge/>
            <w:tcBorders>
              <w:top w:val="nil"/>
            </w:tcBorders>
          </w:tcPr>
          <w:p w:rsidR="001302D7" w:rsidRDefault="001302D7">
            <w:pPr>
              <w:rPr>
                <w:sz w:val="20"/>
                <w:szCs w:val="20"/>
              </w:rPr>
            </w:pPr>
          </w:p>
        </w:tc>
        <w:tc>
          <w:tcPr>
            <w:tcW w:w="4085" w:type="dxa"/>
            <w:gridSpan w:val="2"/>
          </w:tcPr>
          <w:p w:rsidR="001302D7" w:rsidRDefault="0046548E">
            <w:pPr>
              <w:pStyle w:val="TableParagraph"/>
              <w:spacing w:before="1" w:line="276" w:lineRule="auto"/>
              <w:ind w:left="71" w:right="2386"/>
              <w:rPr>
                <w:rFonts w:ascii="Arial" w:hAnsi="Arial" w:cs="Arial"/>
                <w:sz w:val="20"/>
                <w:szCs w:val="20"/>
              </w:rPr>
            </w:pPr>
            <w:r>
              <w:rPr>
                <w:rFonts w:ascii="Arial" w:hAnsi="Arial" w:cs="Arial"/>
                <w:sz w:val="20"/>
                <w:szCs w:val="20"/>
              </w:rPr>
              <w:t>Estudios de casos Cuestionarios</w:t>
            </w:r>
          </w:p>
        </w:tc>
        <w:tc>
          <w:tcPr>
            <w:tcW w:w="4901" w:type="dxa"/>
            <w:gridSpan w:val="3"/>
          </w:tcPr>
          <w:p w:rsidR="001302D7" w:rsidRDefault="0046548E">
            <w:pPr>
              <w:pStyle w:val="TableParagraph"/>
              <w:spacing w:before="6" w:line="274" w:lineRule="exact"/>
              <w:ind w:left="73" w:right="2894"/>
              <w:rPr>
                <w:rFonts w:ascii="Arial" w:hAnsi="Arial" w:cs="Arial"/>
                <w:sz w:val="20"/>
                <w:szCs w:val="20"/>
              </w:rPr>
            </w:pPr>
            <w:r>
              <w:rPr>
                <w:rFonts w:ascii="Arial" w:hAnsi="Arial" w:cs="Arial"/>
                <w:sz w:val="20"/>
                <w:szCs w:val="20"/>
              </w:rPr>
              <w:t>Trabajos individuales Trabajos grupales Solución de ejercicios</w:t>
            </w:r>
          </w:p>
        </w:tc>
        <w:tc>
          <w:tcPr>
            <w:tcW w:w="4834" w:type="dxa"/>
            <w:gridSpan w:val="2"/>
          </w:tcPr>
          <w:p w:rsidR="001302D7" w:rsidRDefault="0046548E">
            <w:pPr>
              <w:pStyle w:val="TableParagraph"/>
              <w:spacing w:before="1"/>
              <w:ind w:left="74"/>
              <w:rPr>
                <w:rFonts w:ascii="Arial" w:hAnsi="Arial" w:cs="Arial"/>
                <w:sz w:val="20"/>
                <w:szCs w:val="20"/>
              </w:rPr>
            </w:pPr>
            <w:r>
              <w:rPr>
                <w:rFonts w:ascii="Arial" w:hAnsi="Arial" w:cs="Arial"/>
                <w:sz w:val="20"/>
                <w:szCs w:val="20"/>
              </w:rPr>
              <w:t>Comportamiento en clase y evaluaciones</w:t>
            </w:r>
          </w:p>
        </w:tc>
      </w:tr>
    </w:tbl>
    <w:p w:rsidR="001302D7" w:rsidRDefault="001302D7">
      <w:pPr>
        <w:rPr>
          <w:sz w:val="24"/>
        </w:rPr>
        <w:sectPr w:rsidR="001302D7">
          <w:pgSz w:w="16840" w:h="11910" w:orient="landscape"/>
          <w:pgMar w:top="1100" w:right="600" w:bottom="280" w:left="620" w:header="720" w:footer="720" w:gutter="0"/>
          <w:cols w:space="720"/>
        </w:sectPr>
      </w:pPr>
    </w:p>
    <w:p w:rsidR="001302D7" w:rsidRDefault="0046548E">
      <w:pPr>
        <w:pStyle w:val="Prrafodelista"/>
        <w:numPr>
          <w:ilvl w:val="0"/>
          <w:numId w:val="1"/>
        </w:numPr>
        <w:tabs>
          <w:tab w:val="left" w:pos="572"/>
        </w:tabs>
        <w:spacing w:before="81"/>
        <w:ind w:left="571" w:hanging="453"/>
        <w:jc w:val="left"/>
        <w:rPr>
          <w:b/>
          <w:sz w:val="24"/>
        </w:rPr>
      </w:pPr>
      <w:r>
        <w:rPr>
          <w:b/>
          <w:sz w:val="24"/>
        </w:rPr>
        <w:lastRenderedPageBreak/>
        <w:t>MATERIALES EDUCATIVOS Y OTROS RECURSOS</w:t>
      </w:r>
      <w:r>
        <w:rPr>
          <w:b/>
          <w:spacing w:val="-12"/>
          <w:sz w:val="24"/>
        </w:rPr>
        <w:t xml:space="preserve"> </w:t>
      </w:r>
      <w:r>
        <w:rPr>
          <w:b/>
          <w:sz w:val="24"/>
        </w:rPr>
        <w:t>DIDÁCTICOS</w:t>
      </w:r>
    </w:p>
    <w:p w:rsidR="001302D7" w:rsidRDefault="001302D7">
      <w:pPr>
        <w:pStyle w:val="Textoindependiente"/>
        <w:spacing w:before="8"/>
        <w:rPr>
          <w:b/>
          <w:sz w:val="20"/>
        </w:rPr>
      </w:pPr>
    </w:p>
    <w:p w:rsidR="001302D7" w:rsidRDefault="0046548E">
      <w:pPr>
        <w:pStyle w:val="Textoindependiente"/>
        <w:spacing w:line="242" w:lineRule="auto"/>
        <w:ind w:left="547" w:right="679"/>
        <w:jc w:val="both"/>
      </w:pPr>
      <w:r>
        <w:t xml:space="preserve">Se utilizarán todos los materiales y recursos </w:t>
      </w:r>
      <w:r>
        <w:t>requeridos de acuerdo a la naturaleza de los temas programados. Básicamente serán:</w:t>
      </w:r>
    </w:p>
    <w:p w:rsidR="001302D7" w:rsidRDefault="001302D7">
      <w:pPr>
        <w:pStyle w:val="Textoindependiente"/>
        <w:spacing w:before="8"/>
        <w:rPr>
          <w:sz w:val="23"/>
        </w:rPr>
      </w:pPr>
    </w:p>
    <w:p w:rsidR="001302D7" w:rsidRDefault="0046548E">
      <w:pPr>
        <w:widowControl/>
        <w:numPr>
          <w:ilvl w:val="0"/>
          <w:numId w:val="2"/>
        </w:numPr>
        <w:adjustRightInd w:val="0"/>
        <w:spacing w:line="276" w:lineRule="auto"/>
        <w:rPr>
          <w:rFonts w:eastAsia="Times New Roman"/>
          <w:b/>
          <w:iCs/>
          <w:color w:val="000000"/>
          <w:sz w:val="24"/>
          <w:szCs w:val="24"/>
          <w:lang w:eastAsia="es-ES"/>
        </w:rPr>
      </w:pPr>
      <w:r>
        <w:rPr>
          <w:rFonts w:eastAsia="Times New Roman"/>
          <w:b/>
          <w:iCs/>
          <w:color w:val="000000"/>
          <w:sz w:val="24"/>
          <w:szCs w:val="24"/>
          <w:lang w:eastAsia="es-ES"/>
        </w:rPr>
        <w:t>MEDIOS ESCRITOS</w:t>
      </w:r>
    </w:p>
    <w:p w:rsidR="001302D7" w:rsidRDefault="001302D7">
      <w:pPr>
        <w:adjustRightInd w:val="0"/>
        <w:spacing w:line="276" w:lineRule="auto"/>
        <w:ind w:left="720"/>
        <w:rPr>
          <w:rFonts w:eastAsia="Times New Roman"/>
          <w:b/>
          <w:iCs/>
          <w:color w:val="000000"/>
          <w:sz w:val="24"/>
          <w:szCs w:val="24"/>
          <w:lang w:eastAsia="es-ES"/>
        </w:rPr>
      </w:pPr>
    </w:p>
    <w:p w:rsidR="001302D7" w:rsidRDefault="0046548E">
      <w:pPr>
        <w:widowControl/>
        <w:numPr>
          <w:ilvl w:val="0"/>
          <w:numId w:val="3"/>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Casos prácticos</w:t>
      </w:r>
    </w:p>
    <w:p w:rsidR="001302D7" w:rsidRDefault="0046548E">
      <w:pPr>
        <w:widowControl/>
        <w:numPr>
          <w:ilvl w:val="0"/>
          <w:numId w:val="3"/>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Lecturas</w:t>
      </w:r>
    </w:p>
    <w:p w:rsidR="001302D7" w:rsidRDefault="0046548E">
      <w:pPr>
        <w:widowControl/>
        <w:numPr>
          <w:ilvl w:val="0"/>
          <w:numId w:val="3"/>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 xml:space="preserve">Revistas empresariales </w:t>
      </w:r>
    </w:p>
    <w:p w:rsidR="001302D7" w:rsidRDefault="0046548E">
      <w:pPr>
        <w:widowControl/>
        <w:numPr>
          <w:ilvl w:val="0"/>
          <w:numId w:val="3"/>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 xml:space="preserve">Plumones /notas adhesivas/pizarra </w:t>
      </w:r>
    </w:p>
    <w:p w:rsidR="001302D7" w:rsidRDefault="001302D7">
      <w:pPr>
        <w:adjustRightInd w:val="0"/>
        <w:spacing w:line="276" w:lineRule="auto"/>
        <w:ind w:left="720"/>
        <w:rPr>
          <w:rFonts w:eastAsia="Times New Roman"/>
          <w:b/>
          <w:iCs/>
          <w:color w:val="000000"/>
          <w:sz w:val="24"/>
          <w:szCs w:val="24"/>
          <w:lang w:eastAsia="es-ES"/>
        </w:rPr>
      </w:pPr>
    </w:p>
    <w:p w:rsidR="001302D7" w:rsidRDefault="0046548E">
      <w:pPr>
        <w:widowControl/>
        <w:numPr>
          <w:ilvl w:val="0"/>
          <w:numId w:val="2"/>
        </w:numPr>
        <w:adjustRightInd w:val="0"/>
        <w:spacing w:line="276" w:lineRule="auto"/>
        <w:rPr>
          <w:rFonts w:eastAsia="Times New Roman"/>
          <w:b/>
          <w:iCs/>
          <w:color w:val="000000"/>
          <w:sz w:val="24"/>
          <w:szCs w:val="24"/>
          <w:lang w:eastAsia="es-ES"/>
        </w:rPr>
      </w:pPr>
      <w:r>
        <w:rPr>
          <w:rFonts w:eastAsia="Times New Roman"/>
          <w:b/>
          <w:iCs/>
          <w:color w:val="000000"/>
          <w:sz w:val="24"/>
          <w:szCs w:val="24"/>
          <w:lang w:eastAsia="es-ES"/>
        </w:rPr>
        <w:t>MEDIOS VISUALES Y ELECTRONICOS</w:t>
      </w:r>
    </w:p>
    <w:p w:rsidR="001302D7" w:rsidRDefault="0046548E">
      <w:pPr>
        <w:widowControl/>
        <w:numPr>
          <w:ilvl w:val="0"/>
          <w:numId w:val="4"/>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 xml:space="preserve">Plataforma de exportemos.pe </w:t>
      </w:r>
    </w:p>
    <w:p w:rsidR="001302D7" w:rsidRDefault="0046548E">
      <w:pPr>
        <w:widowControl/>
        <w:numPr>
          <w:ilvl w:val="0"/>
          <w:numId w:val="4"/>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Proyector</w:t>
      </w:r>
    </w:p>
    <w:p w:rsidR="001302D7" w:rsidRDefault="0046548E">
      <w:pPr>
        <w:pStyle w:val="Prrafodelista"/>
        <w:widowControl/>
        <w:numPr>
          <w:ilvl w:val="0"/>
          <w:numId w:val="4"/>
        </w:numPr>
        <w:autoSpaceDE/>
        <w:autoSpaceDN/>
        <w:spacing w:line="259" w:lineRule="auto"/>
        <w:ind w:left="993" w:hanging="219"/>
        <w:contextualSpacing/>
        <w:rPr>
          <w:rFonts w:eastAsia="Times New Roman"/>
          <w:iCs/>
          <w:color w:val="000000"/>
          <w:sz w:val="24"/>
          <w:szCs w:val="24"/>
          <w:lang w:eastAsia="es-ES"/>
        </w:rPr>
      </w:pPr>
      <w:r>
        <w:rPr>
          <w:rFonts w:eastAsia="Times New Roman"/>
          <w:iCs/>
          <w:color w:val="000000"/>
          <w:sz w:val="24"/>
          <w:szCs w:val="24"/>
          <w:lang w:eastAsia="es-ES"/>
        </w:rPr>
        <w:t>Videos y documentales:</w:t>
      </w:r>
    </w:p>
    <w:p w:rsidR="001302D7" w:rsidRDefault="0046548E">
      <w:pPr>
        <w:widowControl/>
        <w:numPr>
          <w:ilvl w:val="0"/>
          <w:numId w:val="4"/>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 xml:space="preserve">Infografías </w:t>
      </w:r>
    </w:p>
    <w:p w:rsidR="001302D7" w:rsidRDefault="001302D7">
      <w:pPr>
        <w:adjustRightInd w:val="0"/>
        <w:spacing w:line="276" w:lineRule="auto"/>
        <w:ind w:left="720"/>
        <w:rPr>
          <w:rFonts w:eastAsia="Times New Roman"/>
          <w:b/>
          <w:iCs/>
          <w:color w:val="000000"/>
          <w:sz w:val="24"/>
          <w:szCs w:val="24"/>
          <w:lang w:eastAsia="es-ES"/>
        </w:rPr>
      </w:pPr>
    </w:p>
    <w:p w:rsidR="001302D7" w:rsidRDefault="0046548E">
      <w:pPr>
        <w:widowControl/>
        <w:numPr>
          <w:ilvl w:val="0"/>
          <w:numId w:val="2"/>
        </w:numPr>
        <w:adjustRightInd w:val="0"/>
        <w:spacing w:line="276" w:lineRule="auto"/>
        <w:rPr>
          <w:rFonts w:eastAsia="Times New Roman"/>
          <w:b/>
          <w:iCs/>
          <w:color w:val="000000"/>
          <w:sz w:val="24"/>
          <w:szCs w:val="24"/>
          <w:lang w:eastAsia="es-ES"/>
        </w:rPr>
      </w:pPr>
      <w:r>
        <w:rPr>
          <w:rFonts w:eastAsia="Times New Roman"/>
          <w:b/>
          <w:iCs/>
          <w:color w:val="000000"/>
          <w:sz w:val="24"/>
          <w:szCs w:val="24"/>
          <w:lang w:eastAsia="es-ES"/>
        </w:rPr>
        <w:t>MEDIOS INFORMATICOS</w:t>
      </w:r>
    </w:p>
    <w:p w:rsidR="001302D7" w:rsidRDefault="0046548E">
      <w:pPr>
        <w:widowControl/>
        <w:numPr>
          <w:ilvl w:val="0"/>
          <w:numId w:val="4"/>
        </w:numPr>
        <w:adjustRightInd w:val="0"/>
        <w:spacing w:line="276" w:lineRule="auto"/>
        <w:ind w:left="993" w:hanging="219"/>
        <w:rPr>
          <w:rFonts w:eastAsia="Times New Roman"/>
          <w:iCs/>
          <w:color w:val="000000"/>
          <w:sz w:val="24"/>
          <w:szCs w:val="24"/>
          <w:lang w:eastAsia="es-ES"/>
        </w:rPr>
      </w:pPr>
      <w:r>
        <w:rPr>
          <w:rFonts w:eastAsia="Times New Roman"/>
          <w:iCs/>
          <w:color w:val="000000"/>
          <w:sz w:val="24"/>
          <w:szCs w:val="24"/>
          <w:lang w:eastAsia="es-ES"/>
        </w:rPr>
        <w:t xml:space="preserve">Aplicaciones móviles (Tarde map, global trade) </w:t>
      </w:r>
    </w:p>
    <w:p w:rsidR="001302D7" w:rsidRDefault="001302D7">
      <w:pPr>
        <w:pStyle w:val="Textoindependiente"/>
        <w:rPr>
          <w:sz w:val="28"/>
        </w:rPr>
      </w:pPr>
    </w:p>
    <w:p w:rsidR="001302D7" w:rsidRDefault="0046548E">
      <w:pPr>
        <w:pStyle w:val="Ttulo1"/>
        <w:numPr>
          <w:ilvl w:val="0"/>
          <w:numId w:val="1"/>
        </w:numPr>
        <w:tabs>
          <w:tab w:val="left" w:pos="653"/>
        </w:tabs>
        <w:spacing w:before="230"/>
        <w:ind w:left="653" w:hanging="534"/>
        <w:jc w:val="left"/>
      </w:pPr>
      <w:r>
        <w:t>EVALUACIÓN</w:t>
      </w:r>
    </w:p>
    <w:p w:rsidR="001302D7" w:rsidRDefault="001302D7">
      <w:pPr>
        <w:pStyle w:val="Textoindependiente"/>
        <w:spacing w:before="1"/>
        <w:rPr>
          <w:b/>
          <w:sz w:val="21"/>
        </w:rPr>
      </w:pPr>
    </w:p>
    <w:p w:rsidR="001302D7" w:rsidRDefault="0046548E">
      <w:pPr>
        <w:pStyle w:val="Textoindependiente"/>
        <w:ind w:left="547" w:right="678"/>
        <w:jc w:val="both"/>
      </w:pPr>
      <w:r>
        <w:t>La</w:t>
      </w:r>
      <w:r>
        <w:rPr>
          <w:spacing w:val="-13"/>
        </w:rPr>
        <w:t xml:space="preserve"> </w:t>
      </w:r>
      <w:r>
        <w:t>evaluación</w:t>
      </w:r>
      <w:r>
        <w:rPr>
          <w:spacing w:val="-13"/>
        </w:rPr>
        <w:t xml:space="preserve"> </w:t>
      </w:r>
      <w:r>
        <w:t>es</w:t>
      </w:r>
      <w:r>
        <w:rPr>
          <w:spacing w:val="-14"/>
        </w:rPr>
        <w:t xml:space="preserve"> </w:t>
      </w:r>
      <w:r>
        <w:t>inherente</w:t>
      </w:r>
      <w:r>
        <w:rPr>
          <w:spacing w:val="-11"/>
        </w:rPr>
        <w:t xml:space="preserve"> </w:t>
      </w:r>
      <w:r>
        <w:t>al</w:t>
      </w:r>
      <w:r>
        <w:rPr>
          <w:spacing w:val="-19"/>
        </w:rPr>
        <w:t xml:space="preserve"> </w:t>
      </w:r>
      <w:r>
        <w:t>proceso</w:t>
      </w:r>
      <w:r>
        <w:rPr>
          <w:spacing w:val="-12"/>
        </w:rPr>
        <w:t xml:space="preserve"> </w:t>
      </w:r>
      <w:r>
        <w:t>de</w:t>
      </w:r>
      <w:r>
        <w:rPr>
          <w:spacing w:val="-17"/>
        </w:rPr>
        <w:t xml:space="preserve"> </w:t>
      </w:r>
      <w:r>
        <w:t>enseñanza</w:t>
      </w:r>
      <w:r>
        <w:rPr>
          <w:spacing w:val="-13"/>
        </w:rPr>
        <w:t xml:space="preserve"> </w:t>
      </w:r>
      <w:r>
        <w:t>aprendizaje</w:t>
      </w:r>
      <w:r>
        <w:rPr>
          <w:spacing w:val="-12"/>
        </w:rPr>
        <w:t xml:space="preserve"> </w:t>
      </w:r>
      <w:r>
        <w:t>y</w:t>
      </w:r>
      <w:r>
        <w:rPr>
          <w:spacing w:val="-14"/>
        </w:rPr>
        <w:t xml:space="preserve"> </w:t>
      </w:r>
      <w:r>
        <w:t>será</w:t>
      </w:r>
      <w:r>
        <w:rPr>
          <w:spacing w:val="-13"/>
        </w:rPr>
        <w:t xml:space="preserve"> </w:t>
      </w:r>
      <w:r>
        <w:t xml:space="preserve">continua y permanente. Los criterios de evaluación son de </w:t>
      </w:r>
      <w:r>
        <w:t>conocimiento, de desempeño y de producto.</w:t>
      </w:r>
    </w:p>
    <w:p w:rsidR="001302D7" w:rsidRDefault="001302D7">
      <w:pPr>
        <w:pStyle w:val="Textoindependiente"/>
      </w:pPr>
    </w:p>
    <w:p w:rsidR="001302D7" w:rsidRDefault="0046548E">
      <w:pPr>
        <w:pStyle w:val="Ttulo1"/>
        <w:numPr>
          <w:ilvl w:val="0"/>
          <w:numId w:val="5"/>
        </w:numPr>
        <w:tabs>
          <w:tab w:val="left" w:pos="548"/>
        </w:tabs>
        <w:spacing w:before="1"/>
        <w:ind w:hanging="362"/>
      </w:pPr>
      <w:r>
        <w:t>EVIDENCIAS DE</w:t>
      </w:r>
      <w:r>
        <w:rPr>
          <w:spacing w:val="-5"/>
        </w:rPr>
        <w:t xml:space="preserve"> </w:t>
      </w:r>
      <w:r>
        <w:t>CONOCIMIENTO.</w:t>
      </w:r>
    </w:p>
    <w:p w:rsidR="001302D7" w:rsidRDefault="001302D7">
      <w:pPr>
        <w:pStyle w:val="Textoindependiente"/>
        <w:spacing w:before="11"/>
        <w:rPr>
          <w:b/>
          <w:sz w:val="23"/>
        </w:rPr>
      </w:pPr>
    </w:p>
    <w:p w:rsidR="001302D7" w:rsidRDefault="0046548E">
      <w:pPr>
        <w:pStyle w:val="Textoindependiente"/>
        <w:ind w:left="547" w:right="669"/>
        <w:jc w:val="both"/>
      </w:pPr>
      <w:r>
        <w:t>La evaluación será a través de pruebas escritas y orales para el análisis y autoevaluación. En cuanto al primer caso, medir la competencia a nivel interpretativo,</w:t>
      </w:r>
      <w:r>
        <w:rPr>
          <w:spacing w:val="-18"/>
        </w:rPr>
        <w:t xml:space="preserve"> </w:t>
      </w:r>
      <w:r>
        <w:t>argumentativo</w:t>
      </w:r>
      <w:r>
        <w:rPr>
          <w:spacing w:val="-17"/>
        </w:rPr>
        <w:t xml:space="preserve"> </w:t>
      </w:r>
      <w:r>
        <w:t>y</w:t>
      </w:r>
      <w:r>
        <w:rPr>
          <w:spacing w:val="-22"/>
        </w:rPr>
        <w:t xml:space="preserve"> </w:t>
      </w:r>
      <w:r>
        <w:t>propo</w:t>
      </w:r>
      <w:r>
        <w:t>sitivo,</w:t>
      </w:r>
      <w:r>
        <w:rPr>
          <w:spacing w:val="-17"/>
        </w:rPr>
        <w:t xml:space="preserve"> </w:t>
      </w:r>
      <w:r>
        <w:t>para</w:t>
      </w:r>
      <w:r>
        <w:rPr>
          <w:spacing w:val="-18"/>
        </w:rPr>
        <w:t xml:space="preserve"> </w:t>
      </w:r>
      <w:r>
        <w:t>ello</w:t>
      </w:r>
      <w:r>
        <w:rPr>
          <w:spacing w:val="-17"/>
        </w:rPr>
        <w:t xml:space="preserve"> </w:t>
      </w:r>
      <w:r>
        <w:t>debemos</w:t>
      </w:r>
      <w:r>
        <w:rPr>
          <w:spacing w:val="-17"/>
        </w:rPr>
        <w:t xml:space="preserve"> </w:t>
      </w:r>
      <w:r>
        <w:t>ver</w:t>
      </w:r>
      <w:r>
        <w:rPr>
          <w:spacing w:val="-17"/>
        </w:rPr>
        <w:t xml:space="preserve"> </w:t>
      </w:r>
      <w:r>
        <w:t>cómo</w:t>
      </w:r>
      <w:r>
        <w:rPr>
          <w:spacing w:val="-17"/>
        </w:rPr>
        <w:t xml:space="preserve"> </w:t>
      </w:r>
      <w:r>
        <w:t>identifica (describe, ejemplifica, relaciona, reconoce, explica, etc.); y la forma en que argumenta</w:t>
      </w:r>
      <w:r>
        <w:rPr>
          <w:spacing w:val="-8"/>
        </w:rPr>
        <w:t xml:space="preserve"> </w:t>
      </w:r>
      <w:r>
        <w:t>(plantea</w:t>
      </w:r>
      <w:r>
        <w:rPr>
          <w:spacing w:val="-12"/>
        </w:rPr>
        <w:t xml:space="preserve"> </w:t>
      </w:r>
      <w:r>
        <w:t>una</w:t>
      </w:r>
      <w:r>
        <w:rPr>
          <w:spacing w:val="-7"/>
        </w:rPr>
        <w:t xml:space="preserve"> </w:t>
      </w:r>
      <w:r>
        <w:t>afirmación,</w:t>
      </w:r>
      <w:r>
        <w:rPr>
          <w:spacing w:val="-7"/>
        </w:rPr>
        <w:t xml:space="preserve"> </w:t>
      </w:r>
      <w:r>
        <w:t>describe</w:t>
      </w:r>
      <w:r>
        <w:rPr>
          <w:spacing w:val="-7"/>
        </w:rPr>
        <w:t xml:space="preserve"> </w:t>
      </w:r>
      <w:r>
        <w:t>las</w:t>
      </w:r>
      <w:r>
        <w:rPr>
          <w:spacing w:val="-9"/>
        </w:rPr>
        <w:t xml:space="preserve"> </w:t>
      </w:r>
      <w:r>
        <w:t>refutaciones</w:t>
      </w:r>
      <w:r>
        <w:rPr>
          <w:spacing w:val="-8"/>
        </w:rPr>
        <w:t xml:space="preserve"> </w:t>
      </w:r>
      <w:r>
        <w:t>en</w:t>
      </w:r>
      <w:r>
        <w:rPr>
          <w:spacing w:val="-12"/>
        </w:rPr>
        <w:t xml:space="preserve"> </w:t>
      </w:r>
      <w:r>
        <w:t>contra</w:t>
      </w:r>
      <w:r>
        <w:rPr>
          <w:spacing w:val="-7"/>
        </w:rPr>
        <w:t xml:space="preserve"> </w:t>
      </w:r>
      <w:r>
        <w:t>de</w:t>
      </w:r>
      <w:r>
        <w:rPr>
          <w:spacing w:val="-7"/>
        </w:rPr>
        <w:t xml:space="preserve"> </w:t>
      </w:r>
      <w:r>
        <w:t>dicha afirmación, expone sus argumentos contra las refuta</w:t>
      </w:r>
      <w:r>
        <w:t>ciones y llega a conclusiones) y la forma en que propone a través de establecer estrategias, valoraciones, generalizaciones, formulación de hipótesis, respuesta a situaciones,</w:t>
      </w:r>
      <w:r>
        <w:rPr>
          <w:spacing w:val="-1"/>
        </w:rPr>
        <w:t xml:space="preserve"> </w:t>
      </w:r>
      <w:r>
        <w:t>etc.</w:t>
      </w:r>
    </w:p>
    <w:p w:rsidR="001302D7" w:rsidRDefault="0046548E">
      <w:pPr>
        <w:pStyle w:val="Textoindependiente"/>
        <w:spacing w:line="242" w:lineRule="auto"/>
        <w:ind w:left="547" w:right="678"/>
        <w:jc w:val="both"/>
      </w:pPr>
      <w:r>
        <w:t>En cuanto a la autoevaluación permite que el estudiante reconozca sus debil</w:t>
      </w:r>
      <w:r>
        <w:t>idades y fortalezas para corregir o mejorar.</w:t>
      </w:r>
    </w:p>
    <w:p w:rsidR="001302D7" w:rsidRDefault="0046548E">
      <w:pPr>
        <w:pStyle w:val="Textoindependiente"/>
        <w:spacing w:line="242" w:lineRule="auto"/>
        <w:ind w:left="547" w:right="667"/>
        <w:jc w:val="both"/>
      </w:pPr>
      <w:r>
        <w:t>Las evaluaciones de este nivel serán de respuestas simples y otras con preguntas abiertas para su argumentación.</w:t>
      </w:r>
    </w:p>
    <w:p w:rsidR="001302D7" w:rsidRDefault="0046548E">
      <w:pPr>
        <w:widowControl/>
        <w:autoSpaceDE/>
        <w:autoSpaceDN/>
        <w:rPr>
          <w:sz w:val="24"/>
          <w:szCs w:val="24"/>
        </w:rPr>
      </w:pPr>
      <w:r>
        <w:br w:type="page"/>
      </w:r>
    </w:p>
    <w:p w:rsidR="001302D7" w:rsidRDefault="001302D7">
      <w:pPr>
        <w:pStyle w:val="Textoindependiente"/>
        <w:spacing w:before="2"/>
        <w:rPr>
          <w:sz w:val="23"/>
        </w:rPr>
      </w:pPr>
    </w:p>
    <w:p w:rsidR="001302D7" w:rsidRDefault="0046548E">
      <w:pPr>
        <w:pStyle w:val="Ttulo1"/>
        <w:numPr>
          <w:ilvl w:val="0"/>
          <w:numId w:val="5"/>
        </w:numPr>
        <w:tabs>
          <w:tab w:val="left" w:pos="548"/>
        </w:tabs>
        <w:ind w:hanging="362"/>
      </w:pPr>
      <w:r>
        <w:t>EVIDENCIA DE</w:t>
      </w:r>
      <w:r>
        <w:rPr>
          <w:spacing w:val="-3"/>
        </w:rPr>
        <w:t xml:space="preserve"> </w:t>
      </w:r>
      <w:r>
        <w:t>DESEMPEÑO</w:t>
      </w:r>
    </w:p>
    <w:p w:rsidR="001302D7" w:rsidRDefault="001302D7">
      <w:pPr>
        <w:pStyle w:val="Textoindependiente"/>
        <w:rPr>
          <w:b/>
        </w:rPr>
      </w:pPr>
    </w:p>
    <w:p w:rsidR="001302D7" w:rsidRDefault="0046548E">
      <w:pPr>
        <w:pStyle w:val="Textoindependiente"/>
        <w:ind w:left="547" w:right="674" w:firstLine="67"/>
        <w:jc w:val="both"/>
      </w:pPr>
      <w:r>
        <w:t xml:space="preserve">Esta evidencia pone en acción recursos cognitivos, recursos </w:t>
      </w:r>
      <w:r>
        <w:t>procedimentales</w:t>
      </w:r>
      <w:r>
        <w:rPr>
          <w:spacing w:val="-36"/>
        </w:rPr>
        <w:t xml:space="preserve"> </w:t>
      </w:r>
      <w:r>
        <w:t>y recursos afectivos; todo ello en una integración que evidencia un saber hacer reflexivo;</w:t>
      </w:r>
      <w:r>
        <w:rPr>
          <w:spacing w:val="-20"/>
        </w:rPr>
        <w:t xml:space="preserve"> </w:t>
      </w:r>
      <w:r>
        <w:t>en</w:t>
      </w:r>
      <w:r>
        <w:rPr>
          <w:spacing w:val="-19"/>
        </w:rPr>
        <w:t xml:space="preserve"> </w:t>
      </w:r>
      <w:r>
        <w:t>tanto,</w:t>
      </w:r>
      <w:r>
        <w:rPr>
          <w:spacing w:val="-20"/>
        </w:rPr>
        <w:t xml:space="preserve"> </w:t>
      </w:r>
      <w:r>
        <w:t>se</w:t>
      </w:r>
      <w:r>
        <w:rPr>
          <w:spacing w:val="-20"/>
        </w:rPr>
        <w:t xml:space="preserve"> </w:t>
      </w:r>
      <w:r>
        <w:t>puede</w:t>
      </w:r>
      <w:r>
        <w:rPr>
          <w:spacing w:val="-15"/>
        </w:rPr>
        <w:t xml:space="preserve"> </w:t>
      </w:r>
      <w:r>
        <w:t>verbalizar</w:t>
      </w:r>
      <w:r>
        <w:rPr>
          <w:spacing w:val="-18"/>
        </w:rPr>
        <w:t xml:space="preserve"> </w:t>
      </w:r>
      <w:r>
        <w:t>lo</w:t>
      </w:r>
      <w:r>
        <w:rPr>
          <w:spacing w:val="-21"/>
        </w:rPr>
        <w:t xml:space="preserve"> </w:t>
      </w:r>
      <w:r>
        <w:t>que</w:t>
      </w:r>
      <w:r>
        <w:rPr>
          <w:spacing w:val="-19"/>
        </w:rPr>
        <w:t xml:space="preserve"> </w:t>
      </w:r>
      <w:r>
        <w:rPr>
          <w:spacing w:val="-3"/>
        </w:rPr>
        <w:t>se</w:t>
      </w:r>
      <w:r>
        <w:rPr>
          <w:spacing w:val="-15"/>
        </w:rPr>
        <w:t xml:space="preserve"> </w:t>
      </w:r>
      <w:r>
        <w:t>hace,</w:t>
      </w:r>
      <w:r>
        <w:rPr>
          <w:spacing w:val="-21"/>
        </w:rPr>
        <w:t xml:space="preserve"> </w:t>
      </w:r>
      <w:r>
        <w:t>fundamentar</w:t>
      </w:r>
      <w:r>
        <w:rPr>
          <w:spacing w:val="-18"/>
        </w:rPr>
        <w:t xml:space="preserve"> </w:t>
      </w:r>
      <w:r>
        <w:t>teóricamente la práctica y evidenciar un pensamiento estratégico, dado en la observación en</w:t>
      </w:r>
      <w:r>
        <w:t xml:space="preserve"> torno a cómo </w:t>
      </w:r>
      <w:r>
        <w:rPr>
          <w:spacing w:val="-3"/>
        </w:rPr>
        <w:t xml:space="preserve">se </w:t>
      </w:r>
      <w:r>
        <w:t>actúa en situaciones</w:t>
      </w:r>
      <w:r>
        <w:rPr>
          <w:spacing w:val="-2"/>
        </w:rPr>
        <w:t xml:space="preserve"> </w:t>
      </w:r>
      <w:r>
        <w:t>impredecibles.</w:t>
      </w:r>
    </w:p>
    <w:p w:rsidR="001302D7" w:rsidRDefault="0046548E">
      <w:pPr>
        <w:pStyle w:val="Textoindependiente"/>
        <w:ind w:left="547" w:right="669"/>
        <w:jc w:val="both"/>
      </w:pPr>
      <w:r>
        <w:t>La evaluación de desempeño se evalúa ponderando cómo el estudiante aplica los procedimientos y técnicas en el desarrollo de las clases a través de su asistencia y participación asertiva.</w:t>
      </w:r>
    </w:p>
    <w:p w:rsidR="001302D7" w:rsidRDefault="001302D7">
      <w:pPr>
        <w:pStyle w:val="Ttulo1"/>
        <w:tabs>
          <w:tab w:val="left" w:pos="548"/>
        </w:tabs>
        <w:spacing w:before="81"/>
        <w:ind w:firstLine="0"/>
      </w:pPr>
    </w:p>
    <w:p w:rsidR="001302D7" w:rsidRDefault="0046548E">
      <w:pPr>
        <w:pStyle w:val="Ttulo1"/>
        <w:numPr>
          <w:ilvl w:val="0"/>
          <w:numId w:val="5"/>
        </w:numPr>
        <w:tabs>
          <w:tab w:val="left" w:pos="548"/>
        </w:tabs>
        <w:spacing w:before="81"/>
        <w:ind w:hanging="362"/>
      </w:pPr>
      <w:r>
        <w:t>EVIDENCIAS DE</w:t>
      </w:r>
      <w:r>
        <w:rPr>
          <w:spacing w:val="-5"/>
        </w:rPr>
        <w:t xml:space="preserve"> </w:t>
      </w:r>
      <w:r>
        <w:t>P</w:t>
      </w:r>
      <w:r>
        <w:t>RODUCTO.</w:t>
      </w:r>
    </w:p>
    <w:p w:rsidR="001302D7" w:rsidRDefault="001302D7">
      <w:pPr>
        <w:pStyle w:val="Textoindependiente"/>
        <w:rPr>
          <w:b/>
        </w:rPr>
      </w:pPr>
    </w:p>
    <w:p w:rsidR="001302D7" w:rsidRDefault="0046548E">
      <w:pPr>
        <w:pStyle w:val="Textoindependiente"/>
        <w:ind w:left="547" w:right="666"/>
        <w:jc w:val="both"/>
      </w:pPr>
      <w:r>
        <w:t>Están implicadas en las finalidades de la competencia, por tanto, no es simplemente la entrega del producto, sino que tiene que ver con el campo de acción y los requerimientos del contexto de aplicación.</w:t>
      </w:r>
    </w:p>
    <w:p w:rsidR="001302D7" w:rsidRDefault="0046548E">
      <w:pPr>
        <w:pStyle w:val="Textoindependiente"/>
        <w:spacing w:line="242" w:lineRule="auto"/>
        <w:ind w:left="547" w:right="670"/>
        <w:jc w:val="both"/>
      </w:pPr>
      <w:r>
        <w:t xml:space="preserve">La evaluación de producto se evidencia en </w:t>
      </w:r>
      <w:r>
        <w:t>la entrega oportuna de sus trabajos mensuales y el trabajo final.</w:t>
      </w:r>
    </w:p>
    <w:p w:rsidR="001302D7" w:rsidRDefault="001302D7">
      <w:pPr>
        <w:pStyle w:val="Textoindependiente"/>
        <w:spacing w:before="9"/>
        <w:rPr>
          <w:sz w:val="23"/>
        </w:rPr>
      </w:pPr>
    </w:p>
    <w:p w:rsidR="001302D7" w:rsidRDefault="0046548E">
      <w:pPr>
        <w:pStyle w:val="Textoindependiente"/>
        <w:spacing w:line="237" w:lineRule="auto"/>
        <w:ind w:left="547" w:right="676"/>
        <w:jc w:val="both"/>
      </w:pPr>
      <w:r>
        <w:t>Además,</w:t>
      </w:r>
      <w:r>
        <w:rPr>
          <w:spacing w:val="-11"/>
        </w:rPr>
        <w:t xml:space="preserve"> </w:t>
      </w:r>
      <w:r>
        <w:t>se</w:t>
      </w:r>
      <w:r>
        <w:rPr>
          <w:spacing w:val="-11"/>
        </w:rPr>
        <w:t xml:space="preserve"> </w:t>
      </w:r>
      <w:r>
        <w:t>tendrá</w:t>
      </w:r>
      <w:r>
        <w:rPr>
          <w:spacing w:val="-11"/>
        </w:rPr>
        <w:t xml:space="preserve"> </w:t>
      </w:r>
      <w:r>
        <w:t>en</w:t>
      </w:r>
      <w:r>
        <w:rPr>
          <w:spacing w:val="-11"/>
        </w:rPr>
        <w:t xml:space="preserve"> </w:t>
      </w:r>
      <w:r>
        <w:t>cuenta</w:t>
      </w:r>
      <w:r>
        <w:rPr>
          <w:spacing w:val="-11"/>
        </w:rPr>
        <w:t xml:space="preserve"> </w:t>
      </w:r>
      <w:r>
        <w:t>la</w:t>
      </w:r>
      <w:r>
        <w:rPr>
          <w:spacing w:val="-11"/>
        </w:rPr>
        <w:t xml:space="preserve"> </w:t>
      </w:r>
      <w:r>
        <w:t>asistencia</w:t>
      </w:r>
      <w:r>
        <w:rPr>
          <w:spacing w:val="-11"/>
        </w:rPr>
        <w:t xml:space="preserve"> </w:t>
      </w:r>
      <w:r>
        <w:t>como</w:t>
      </w:r>
      <w:r>
        <w:rPr>
          <w:spacing w:val="-11"/>
        </w:rPr>
        <w:t xml:space="preserve"> </w:t>
      </w:r>
      <w:r>
        <w:t>componente</w:t>
      </w:r>
      <w:r>
        <w:rPr>
          <w:spacing w:val="-10"/>
        </w:rPr>
        <w:t xml:space="preserve"> </w:t>
      </w:r>
      <w:r>
        <w:t>del</w:t>
      </w:r>
      <w:r>
        <w:rPr>
          <w:spacing w:val="-12"/>
        </w:rPr>
        <w:t xml:space="preserve"> </w:t>
      </w:r>
      <w:r>
        <w:t>desempeño,</w:t>
      </w:r>
      <w:r>
        <w:rPr>
          <w:spacing w:val="-11"/>
        </w:rPr>
        <w:t xml:space="preserve"> </w:t>
      </w:r>
      <w:r>
        <w:t>el 30% de inasistencia inhabilita el derecho a la</w:t>
      </w:r>
      <w:r>
        <w:rPr>
          <w:spacing w:val="-13"/>
        </w:rPr>
        <w:t xml:space="preserve"> </w:t>
      </w:r>
      <w:r>
        <w:t>evaluación.</w:t>
      </w:r>
    </w:p>
    <w:p w:rsidR="001302D7" w:rsidRDefault="001302D7">
      <w:pPr>
        <w:pStyle w:val="Textoindependiente"/>
        <w:spacing w:before="1"/>
      </w:pPr>
    </w:p>
    <w:p w:rsidR="001302D7" w:rsidRDefault="0046548E">
      <w:pPr>
        <w:pStyle w:val="Textoindependiente"/>
        <w:spacing w:line="242" w:lineRule="auto"/>
        <w:ind w:left="547" w:right="451"/>
      </w:pPr>
      <w:r>
        <w:t>Los promedios de las unidades didácticas se determina</w:t>
      </w:r>
      <w:r>
        <w:t>rán con base al siguiente cuadro:</w:t>
      </w:r>
    </w:p>
    <w:p w:rsidR="001302D7" w:rsidRDefault="001302D7">
      <w:pPr>
        <w:pStyle w:val="Textoindependiente"/>
        <w:spacing w:before="1"/>
        <w:rPr>
          <w:sz w:val="17"/>
        </w:rPr>
      </w:pPr>
    </w:p>
    <w:tbl>
      <w:tblPr>
        <w:tblStyle w:val="TableNormal"/>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80"/>
        <w:gridCol w:w="2219"/>
        <w:gridCol w:w="2429"/>
      </w:tblGrid>
      <w:tr w:rsidR="001302D7">
        <w:trPr>
          <w:trHeight w:val="916"/>
        </w:trPr>
        <w:tc>
          <w:tcPr>
            <w:tcW w:w="3780" w:type="dxa"/>
          </w:tcPr>
          <w:p w:rsidR="001302D7" w:rsidRDefault="001302D7">
            <w:pPr>
              <w:pStyle w:val="TableParagraph"/>
              <w:rPr>
                <w:rFonts w:ascii="Arial"/>
                <w:sz w:val="30"/>
              </w:rPr>
            </w:pPr>
          </w:p>
          <w:p w:rsidR="001302D7" w:rsidRDefault="0046548E">
            <w:pPr>
              <w:pStyle w:val="TableParagraph"/>
              <w:ind w:left="185" w:right="177"/>
              <w:jc w:val="center"/>
              <w:rPr>
                <w:rFonts w:ascii="Arial"/>
                <w:b/>
                <w:sz w:val="20"/>
              </w:rPr>
            </w:pPr>
            <w:r>
              <w:rPr>
                <w:rFonts w:ascii="Arial"/>
                <w:b/>
                <w:sz w:val="20"/>
              </w:rPr>
              <w:t>VARIABLES</w:t>
            </w:r>
          </w:p>
        </w:tc>
        <w:tc>
          <w:tcPr>
            <w:tcW w:w="2219" w:type="dxa"/>
          </w:tcPr>
          <w:p w:rsidR="001302D7" w:rsidRDefault="001302D7">
            <w:pPr>
              <w:pStyle w:val="TableParagraph"/>
              <w:rPr>
                <w:rFonts w:ascii="Arial"/>
                <w:sz w:val="30"/>
              </w:rPr>
            </w:pPr>
          </w:p>
          <w:p w:rsidR="001302D7" w:rsidRDefault="0046548E">
            <w:pPr>
              <w:pStyle w:val="TableParagraph"/>
              <w:ind w:left="120" w:right="2"/>
              <w:jc w:val="center"/>
              <w:rPr>
                <w:rFonts w:ascii="Arial"/>
                <w:b/>
                <w:sz w:val="20"/>
              </w:rPr>
            </w:pPr>
            <w:r>
              <w:rPr>
                <w:rFonts w:ascii="Arial"/>
                <w:b/>
                <w:sz w:val="20"/>
              </w:rPr>
              <w:t>PONDERACIONES</w:t>
            </w:r>
          </w:p>
        </w:tc>
        <w:tc>
          <w:tcPr>
            <w:tcW w:w="2429" w:type="dxa"/>
          </w:tcPr>
          <w:p w:rsidR="001302D7" w:rsidRDefault="0046548E">
            <w:pPr>
              <w:pStyle w:val="TableParagraph"/>
              <w:ind w:left="307" w:right="287" w:hanging="10"/>
              <w:jc w:val="center"/>
              <w:rPr>
                <w:rFonts w:ascii="Arial" w:hAnsi="Arial"/>
                <w:b/>
                <w:sz w:val="20"/>
              </w:rPr>
            </w:pPr>
            <w:r>
              <w:rPr>
                <w:rFonts w:ascii="Arial" w:hAnsi="Arial"/>
                <w:b/>
                <w:sz w:val="20"/>
              </w:rPr>
              <w:t>UNIDADES DIDÁCTICAS</w:t>
            </w:r>
          </w:p>
          <w:p w:rsidR="001302D7" w:rsidRDefault="0046548E">
            <w:pPr>
              <w:pStyle w:val="TableParagraph"/>
              <w:spacing w:before="7" w:line="226" w:lineRule="exact"/>
              <w:ind w:left="152" w:right="132"/>
              <w:jc w:val="center"/>
              <w:rPr>
                <w:rFonts w:ascii="Arial" w:hAnsi="Arial"/>
                <w:b/>
                <w:sz w:val="20"/>
              </w:rPr>
            </w:pPr>
            <w:r>
              <w:rPr>
                <w:rFonts w:ascii="Arial" w:hAnsi="Arial"/>
                <w:b/>
                <w:sz w:val="20"/>
              </w:rPr>
              <w:t>DENOMINADAS MÓDULOS</w:t>
            </w:r>
          </w:p>
        </w:tc>
      </w:tr>
      <w:tr w:rsidR="001302D7">
        <w:trPr>
          <w:trHeight w:val="827"/>
        </w:trPr>
        <w:tc>
          <w:tcPr>
            <w:tcW w:w="3780" w:type="dxa"/>
          </w:tcPr>
          <w:p w:rsidR="001302D7" w:rsidRDefault="0046548E">
            <w:pPr>
              <w:pStyle w:val="TableParagraph"/>
              <w:spacing w:before="2"/>
              <w:ind w:left="974" w:right="741" w:hanging="149"/>
              <w:rPr>
                <w:rFonts w:ascii="Arial" w:hAnsi="Arial"/>
                <w:sz w:val="24"/>
              </w:rPr>
            </w:pPr>
            <w:r>
              <w:rPr>
                <w:rFonts w:ascii="Arial" w:hAnsi="Arial"/>
                <w:sz w:val="24"/>
              </w:rPr>
              <w:t>Evaluación de e conocimiento</w:t>
            </w:r>
          </w:p>
        </w:tc>
        <w:tc>
          <w:tcPr>
            <w:tcW w:w="2219" w:type="dxa"/>
          </w:tcPr>
          <w:p w:rsidR="001302D7" w:rsidRDefault="001302D7">
            <w:pPr>
              <w:pStyle w:val="TableParagraph"/>
              <w:rPr>
                <w:rFonts w:ascii="Arial"/>
                <w:sz w:val="24"/>
              </w:rPr>
            </w:pPr>
          </w:p>
          <w:p w:rsidR="001302D7" w:rsidRDefault="0046548E">
            <w:pPr>
              <w:pStyle w:val="TableParagraph"/>
              <w:ind w:left="184" w:right="2"/>
              <w:jc w:val="center"/>
              <w:rPr>
                <w:rFonts w:ascii="Arial"/>
                <w:sz w:val="24"/>
              </w:rPr>
            </w:pPr>
            <w:r>
              <w:rPr>
                <w:rFonts w:ascii="Arial"/>
                <w:sz w:val="24"/>
              </w:rPr>
              <w:t>20%</w:t>
            </w:r>
          </w:p>
        </w:tc>
        <w:tc>
          <w:tcPr>
            <w:tcW w:w="2429" w:type="dxa"/>
            <w:vMerge w:val="restart"/>
          </w:tcPr>
          <w:p w:rsidR="001302D7" w:rsidRDefault="001302D7">
            <w:pPr>
              <w:pStyle w:val="TableParagraph"/>
              <w:rPr>
                <w:rFonts w:ascii="Arial"/>
                <w:sz w:val="26"/>
              </w:rPr>
            </w:pPr>
          </w:p>
          <w:p w:rsidR="001302D7" w:rsidRDefault="001302D7">
            <w:pPr>
              <w:pStyle w:val="TableParagraph"/>
              <w:spacing w:before="3"/>
              <w:rPr>
                <w:rFonts w:ascii="Arial"/>
                <w:sz w:val="23"/>
              </w:rPr>
            </w:pPr>
          </w:p>
          <w:p w:rsidR="001302D7" w:rsidRDefault="0046548E">
            <w:pPr>
              <w:pStyle w:val="TableParagraph"/>
              <w:spacing w:line="237" w:lineRule="auto"/>
              <w:ind w:left="152" w:right="-44"/>
              <w:jc w:val="center"/>
              <w:rPr>
                <w:rFonts w:ascii="Arial" w:hAnsi="Arial"/>
                <w:sz w:val="24"/>
              </w:rPr>
            </w:pPr>
            <w:r>
              <w:rPr>
                <w:rFonts w:ascii="Arial" w:hAnsi="Arial"/>
                <w:sz w:val="24"/>
              </w:rPr>
              <w:t>El ciclo académico comprende</w:t>
            </w:r>
          </w:p>
          <w:p w:rsidR="001302D7" w:rsidRDefault="0046548E">
            <w:pPr>
              <w:pStyle w:val="TableParagraph"/>
              <w:spacing w:before="4"/>
              <w:ind w:left="180"/>
              <w:jc w:val="center"/>
              <w:rPr>
                <w:rFonts w:ascii="Arial"/>
                <w:sz w:val="24"/>
              </w:rPr>
            </w:pPr>
            <w:r>
              <w:rPr>
                <w:rFonts w:ascii="Arial"/>
                <w:w w:val="99"/>
                <w:sz w:val="24"/>
              </w:rPr>
              <w:t>4</w:t>
            </w:r>
          </w:p>
        </w:tc>
      </w:tr>
      <w:tr w:rsidR="001302D7">
        <w:trPr>
          <w:trHeight w:val="551"/>
        </w:trPr>
        <w:tc>
          <w:tcPr>
            <w:tcW w:w="3780" w:type="dxa"/>
          </w:tcPr>
          <w:p w:rsidR="001302D7" w:rsidRDefault="0046548E">
            <w:pPr>
              <w:pStyle w:val="TableParagraph"/>
              <w:ind w:left="248" w:right="177"/>
              <w:jc w:val="center"/>
              <w:rPr>
                <w:rFonts w:ascii="Arial" w:hAnsi="Arial"/>
                <w:sz w:val="24"/>
              </w:rPr>
            </w:pPr>
            <w:r>
              <w:rPr>
                <w:rFonts w:ascii="Arial" w:hAnsi="Arial"/>
                <w:sz w:val="24"/>
              </w:rPr>
              <w:t>Evaluación de producto</w:t>
            </w:r>
          </w:p>
        </w:tc>
        <w:tc>
          <w:tcPr>
            <w:tcW w:w="2219" w:type="dxa"/>
          </w:tcPr>
          <w:p w:rsidR="001302D7" w:rsidRDefault="0046548E">
            <w:pPr>
              <w:pStyle w:val="TableParagraph"/>
              <w:spacing w:before="139"/>
              <w:ind w:left="184" w:right="2"/>
              <w:jc w:val="center"/>
              <w:rPr>
                <w:rFonts w:ascii="Arial"/>
                <w:sz w:val="24"/>
              </w:rPr>
            </w:pPr>
            <w:r>
              <w:rPr>
                <w:rFonts w:ascii="Arial"/>
                <w:sz w:val="24"/>
              </w:rPr>
              <w:t>40%</w:t>
            </w:r>
          </w:p>
        </w:tc>
        <w:tc>
          <w:tcPr>
            <w:tcW w:w="2429" w:type="dxa"/>
            <w:vMerge/>
            <w:tcBorders>
              <w:top w:val="nil"/>
            </w:tcBorders>
          </w:tcPr>
          <w:p w:rsidR="001302D7" w:rsidRDefault="001302D7">
            <w:pPr>
              <w:rPr>
                <w:sz w:val="2"/>
                <w:szCs w:val="2"/>
              </w:rPr>
            </w:pPr>
          </w:p>
        </w:tc>
      </w:tr>
      <w:tr w:rsidR="001302D7">
        <w:trPr>
          <w:trHeight w:val="551"/>
        </w:trPr>
        <w:tc>
          <w:tcPr>
            <w:tcW w:w="3780" w:type="dxa"/>
          </w:tcPr>
          <w:p w:rsidR="001302D7" w:rsidRDefault="0046548E">
            <w:pPr>
              <w:pStyle w:val="TableParagraph"/>
              <w:ind w:left="248" w:right="177"/>
              <w:jc w:val="center"/>
              <w:rPr>
                <w:rFonts w:ascii="Arial" w:hAnsi="Arial"/>
                <w:sz w:val="24"/>
              </w:rPr>
            </w:pPr>
            <w:r>
              <w:rPr>
                <w:rFonts w:ascii="Arial" w:hAnsi="Arial"/>
                <w:sz w:val="24"/>
              </w:rPr>
              <w:t>Evaluación de desempeño</w:t>
            </w:r>
          </w:p>
        </w:tc>
        <w:tc>
          <w:tcPr>
            <w:tcW w:w="2219" w:type="dxa"/>
          </w:tcPr>
          <w:p w:rsidR="001302D7" w:rsidRDefault="0046548E">
            <w:pPr>
              <w:pStyle w:val="TableParagraph"/>
              <w:spacing w:before="139"/>
              <w:ind w:left="184" w:right="2"/>
              <w:jc w:val="center"/>
              <w:rPr>
                <w:rFonts w:ascii="Arial"/>
                <w:sz w:val="24"/>
              </w:rPr>
            </w:pPr>
            <w:r>
              <w:rPr>
                <w:rFonts w:ascii="Arial"/>
                <w:sz w:val="24"/>
              </w:rPr>
              <w:t>40%</w:t>
            </w:r>
          </w:p>
        </w:tc>
        <w:tc>
          <w:tcPr>
            <w:tcW w:w="2429" w:type="dxa"/>
            <w:vMerge/>
            <w:tcBorders>
              <w:top w:val="nil"/>
            </w:tcBorders>
          </w:tcPr>
          <w:p w:rsidR="001302D7" w:rsidRDefault="001302D7">
            <w:pPr>
              <w:rPr>
                <w:sz w:val="2"/>
                <w:szCs w:val="2"/>
              </w:rPr>
            </w:pPr>
          </w:p>
        </w:tc>
      </w:tr>
    </w:tbl>
    <w:p w:rsidR="001302D7" w:rsidRDefault="001302D7">
      <w:pPr>
        <w:pStyle w:val="Textoindependiente"/>
        <w:rPr>
          <w:sz w:val="26"/>
        </w:rPr>
      </w:pPr>
    </w:p>
    <w:p w:rsidR="001302D7" w:rsidRDefault="0046548E">
      <w:pPr>
        <w:pStyle w:val="Textoindependiente"/>
        <w:spacing w:before="177" w:line="242" w:lineRule="auto"/>
        <w:ind w:left="547" w:right="451"/>
      </w:pPr>
      <w:r>
        <w:t xml:space="preserve">Siendo el promedio final </w:t>
      </w:r>
      <w:r>
        <w:t>(PF), el promedio simple de los promedios ponderados de cada módulo (PM1, PM2, PM3, PM4); calculado de la siguiente manera:</w:t>
      </w:r>
    </w:p>
    <w:p w:rsidR="001302D7" w:rsidRDefault="001302D7">
      <w:pPr>
        <w:pStyle w:val="Textoindependiente"/>
        <w:rPr>
          <w:sz w:val="26"/>
        </w:rPr>
      </w:pPr>
    </w:p>
    <w:p w:rsidR="001302D7" w:rsidRDefault="001302D7">
      <w:pPr>
        <w:pStyle w:val="Textoindependiente"/>
        <w:spacing w:before="4"/>
        <w:rPr>
          <w:sz w:val="32"/>
        </w:rPr>
      </w:pPr>
    </w:p>
    <w:p w:rsidR="001302D7" w:rsidRDefault="0046548E">
      <w:pPr>
        <w:pStyle w:val="Textoindependiente"/>
        <w:spacing w:before="1" w:line="242" w:lineRule="auto"/>
        <w:ind w:left="4993" w:right="2725" w:hanging="1830"/>
        <w:rPr>
          <w:lang w:val="en-US"/>
        </w:rPr>
      </w:pPr>
      <w:r>
        <w:rPr>
          <w:b/>
          <w:lang w:val="en-US"/>
        </w:rPr>
        <w:t xml:space="preserve">PF = </w:t>
      </w:r>
      <w:r>
        <w:rPr>
          <w:u w:val="single"/>
          <w:lang w:val="en-US"/>
        </w:rPr>
        <w:t xml:space="preserve">PM1 +  PM2  +  PM3  + </w:t>
      </w:r>
      <w:r>
        <w:rPr>
          <w:lang w:val="en-US"/>
        </w:rPr>
        <w:t xml:space="preserve"> PM4 4</w:t>
      </w:r>
    </w:p>
    <w:p w:rsidR="001302D7" w:rsidRDefault="001302D7">
      <w:pPr>
        <w:spacing w:line="242" w:lineRule="auto"/>
        <w:rPr>
          <w:lang w:val="en-US"/>
        </w:rPr>
      </w:pPr>
    </w:p>
    <w:p w:rsidR="001302D7" w:rsidRDefault="0046548E">
      <w:pPr>
        <w:widowControl/>
        <w:autoSpaceDE/>
        <w:autoSpaceDN/>
        <w:rPr>
          <w:lang w:val="en-US"/>
        </w:rPr>
      </w:pPr>
      <w:r>
        <w:rPr>
          <w:lang w:val="en-US"/>
        </w:rPr>
        <w:br w:type="page"/>
      </w:r>
    </w:p>
    <w:p w:rsidR="001302D7" w:rsidRDefault="001302D7">
      <w:pPr>
        <w:spacing w:line="242" w:lineRule="auto"/>
        <w:rPr>
          <w:lang w:val="en-US"/>
        </w:rPr>
      </w:pPr>
    </w:p>
    <w:p w:rsidR="001302D7" w:rsidRDefault="0046548E">
      <w:pPr>
        <w:pStyle w:val="Ttulo1"/>
        <w:numPr>
          <w:ilvl w:val="0"/>
          <w:numId w:val="1"/>
        </w:numPr>
        <w:tabs>
          <w:tab w:val="left" w:pos="687"/>
        </w:tabs>
        <w:spacing w:before="81"/>
        <w:ind w:left="686" w:hanging="568"/>
        <w:jc w:val="left"/>
      </w:pPr>
      <w:r>
        <w:t>BIBLIOGRAFÍA Y REFERENCIAS WEB</w:t>
      </w:r>
    </w:p>
    <w:p w:rsidR="001302D7" w:rsidRDefault="001302D7">
      <w:pPr>
        <w:pStyle w:val="Ttulo1"/>
        <w:tabs>
          <w:tab w:val="left" w:pos="687"/>
        </w:tabs>
        <w:spacing w:before="81"/>
        <w:jc w:val="right"/>
      </w:pPr>
    </w:p>
    <w:p w:rsidR="001302D7" w:rsidRDefault="0046548E">
      <w:pPr>
        <w:spacing w:line="360" w:lineRule="auto"/>
        <w:ind w:left="567"/>
        <w:jc w:val="both"/>
        <w:rPr>
          <w:rFonts w:eastAsia="Times New Roman"/>
          <w:b/>
          <w:iCs/>
          <w:sz w:val="24"/>
          <w:szCs w:val="24"/>
          <w:lang w:eastAsia="es-ES"/>
        </w:rPr>
      </w:pPr>
      <w:r>
        <w:rPr>
          <w:rFonts w:eastAsia="Times New Roman"/>
          <w:b/>
          <w:iCs/>
          <w:sz w:val="24"/>
          <w:szCs w:val="24"/>
          <w:lang w:eastAsia="es-ES"/>
        </w:rPr>
        <w:t xml:space="preserve">UNIDAD DIDACTICA I: </w:t>
      </w:r>
    </w:p>
    <w:p w:rsidR="001302D7" w:rsidRDefault="0046548E">
      <w:pPr>
        <w:pStyle w:val="Prrafodelista"/>
        <w:numPr>
          <w:ilvl w:val="0"/>
          <w:numId w:val="6"/>
        </w:numPr>
        <w:spacing w:before="11" w:line="256" w:lineRule="auto"/>
        <w:ind w:left="993" w:right="875"/>
        <w:jc w:val="both"/>
        <w:rPr>
          <w:sz w:val="24"/>
          <w:szCs w:val="24"/>
        </w:rPr>
      </w:pPr>
      <w:r>
        <w:rPr>
          <w:sz w:val="24"/>
          <w:szCs w:val="24"/>
        </w:rPr>
        <w:t xml:space="preserve">DL. 1053 - Ley General de Aduanas: </w:t>
      </w:r>
      <w:r>
        <w:rPr>
          <w:sz w:val="24"/>
          <w:szCs w:val="24"/>
        </w:rPr>
        <w:t>Regímenes Aduaneros</w:t>
      </w:r>
    </w:p>
    <w:p w:rsidR="001302D7" w:rsidRDefault="0046548E">
      <w:pPr>
        <w:pStyle w:val="Prrafodelista"/>
        <w:numPr>
          <w:ilvl w:val="0"/>
          <w:numId w:val="6"/>
        </w:numPr>
        <w:spacing w:before="11" w:line="256" w:lineRule="auto"/>
        <w:ind w:left="993" w:right="875"/>
        <w:jc w:val="both"/>
        <w:rPr>
          <w:sz w:val="24"/>
          <w:szCs w:val="24"/>
        </w:rPr>
      </w:pPr>
      <w:r>
        <w:rPr>
          <w:sz w:val="24"/>
          <w:szCs w:val="24"/>
        </w:rPr>
        <w:t>Reglamento del Decreto Legislativo Nº 1053, Ley General de Aduanas</w:t>
      </w:r>
    </w:p>
    <w:p w:rsidR="001302D7" w:rsidRDefault="0046548E">
      <w:pPr>
        <w:pStyle w:val="Prrafodelista"/>
        <w:numPr>
          <w:ilvl w:val="0"/>
          <w:numId w:val="6"/>
        </w:numPr>
        <w:spacing w:before="11" w:line="256" w:lineRule="auto"/>
        <w:ind w:left="993" w:right="875"/>
        <w:jc w:val="both"/>
        <w:rPr>
          <w:sz w:val="24"/>
          <w:szCs w:val="24"/>
        </w:rPr>
      </w:pPr>
      <w:r>
        <w:rPr>
          <w:sz w:val="24"/>
          <w:szCs w:val="24"/>
        </w:rPr>
        <w:t>Actualidad Empresarial. Ley General de Aduanas: cambios, comentarios y casuística</w:t>
      </w:r>
    </w:p>
    <w:p w:rsidR="001302D7" w:rsidRDefault="0046548E">
      <w:pPr>
        <w:pStyle w:val="Prrafodelista"/>
        <w:numPr>
          <w:ilvl w:val="0"/>
          <w:numId w:val="6"/>
        </w:numPr>
        <w:spacing w:before="11" w:line="256" w:lineRule="auto"/>
        <w:ind w:left="993" w:right="875"/>
        <w:jc w:val="both"/>
        <w:rPr>
          <w:sz w:val="24"/>
        </w:rPr>
      </w:pPr>
      <w:r>
        <w:rPr>
          <w:sz w:val="24"/>
        </w:rPr>
        <w:t>Libro: Convencion de Viena</w:t>
      </w:r>
    </w:p>
    <w:p w:rsidR="001302D7" w:rsidRDefault="0046548E">
      <w:pPr>
        <w:pStyle w:val="Prrafodelista"/>
        <w:spacing w:before="11" w:line="256" w:lineRule="auto"/>
        <w:ind w:left="993" w:right="875" w:firstLine="0"/>
        <w:jc w:val="both"/>
        <w:rPr>
          <w:sz w:val="24"/>
        </w:rPr>
      </w:pPr>
      <w:r>
        <w:rPr>
          <w:sz w:val="24"/>
        </w:rPr>
        <w:t xml:space="preserve">Compraventa Internacional De Mercadereias. La Convencion De </w:t>
      </w:r>
      <w:r>
        <w:rPr>
          <w:sz w:val="24"/>
        </w:rPr>
        <w:t>Viena De 1980</w:t>
      </w:r>
    </w:p>
    <w:p w:rsidR="001302D7" w:rsidRDefault="0046548E">
      <w:pPr>
        <w:pStyle w:val="Prrafodelista"/>
        <w:numPr>
          <w:ilvl w:val="0"/>
          <w:numId w:val="6"/>
        </w:numPr>
        <w:spacing w:before="11" w:line="256" w:lineRule="auto"/>
        <w:ind w:left="993" w:right="875"/>
        <w:jc w:val="both"/>
        <w:rPr>
          <w:sz w:val="24"/>
        </w:rPr>
      </w:pPr>
      <w:r>
        <w:rPr>
          <w:sz w:val="24"/>
        </w:rPr>
        <w:t>Interpretacion y la Integracion de la Convencion de Viena</w:t>
      </w:r>
    </w:p>
    <w:p w:rsidR="001302D7" w:rsidRDefault="0046548E">
      <w:pPr>
        <w:pStyle w:val="Prrafodelista"/>
        <w:tabs>
          <w:tab w:val="left" w:pos="831"/>
        </w:tabs>
        <w:spacing w:before="11" w:line="256" w:lineRule="auto"/>
        <w:ind w:left="720" w:right="875" w:firstLine="0"/>
        <w:jc w:val="both"/>
        <w:rPr>
          <w:sz w:val="24"/>
        </w:rPr>
      </w:pPr>
      <w:r>
        <w:rPr>
          <w:sz w:val="24"/>
        </w:rPr>
        <w:tab/>
        <w:t xml:space="preserve">  José Miguel Embid Irujo (Autor)  · Editorial Comares · Tapa Blanda</w:t>
      </w:r>
    </w:p>
    <w:p w:rsidR="001302D7" w:rsidRDefault="0046548E">
      <w:pPr>
        <w:pStyle w:val="Prrafodelista"/>
        <w:numPr>
          <w:ilvl w:val="0"/>
          <w:numId w:val="7"/>
        </w:numPr>
        <w:ind w:left="993"/>
        <w:jc w:val="both"/>
        <w:rPr>
          <w:sz w:val="24"/>
        </w:rPr>
      </w:pPr>
      <w:r>
        <w:rPr>
          <w:sz w:val="24"/>
        </w:rPr>
        <w:t xml:space="preserve">SUNAT. (2023). Guía sobre tributación de los no domiciliados en el Perú. Superintendencia Nacional de </w:t>
      </w:r>
      <w:r>
        <w:rPr>
          <w:sz w:val="24"/>
        </w:rPr>
        <w:t>Administración Tributaria.</w:t>
      </w:r>
    </w:p>
    <w:p w:rsidR="001302D7" w:rsidRDefault="001302D7">
      <w:pPr>
        <w:spacing w:line="360" w:lineRule="auto"/>
        <w:ind w:left="567"/>
        <w:jc w:val="both"/>
        <w:rPr>
          <w:rFonts w:eastAsia="Times New Roman"/>
          <w:b/>
          <w:iCs/>
          <w:sz w:val="24"/>
          <w:szCs w:val="24"/>
          <w:lang w:eastAsia="es-ES"/>
        </w:rPr>
      </w:pPr>
    </w:p>
    <w:p w:rsidR="001302D7" w:rsidRDefault="0046548E">
      <w:pPr>
        <w:spacing w:line="360" w:lineRule="auto"/>
        <w:ind w:left="567"/>
        <w:jc w:val="both"/>
        <w:rPr>
          <w:rFonts w:eastAsia="Times New Roman"/>
          <w:b/>
          <w:iCs/>
          <w:sz w:val="24"/>
          <w:szCs w:val="24"/>
          <w:lang w:eastAsia="es-ES"/>
        </w:rPr>
      </w:pPr>
      <w:r>
        <w:rPr>
          <w:rFonts w:eastAsia="Times New Roman"/>
          <w:b/>
          <w:iCs/>
          <w:sz w:val="24"/>
          <w:szCs w:val="24"/>
          <w:lang w:eastAsia="es-ES"/>
        </w:rPr>
        <w:t xml:space="preserve">UNIDAD DIDACTICA II: </w:t>
      </w:r>
    </w:p>
    <w:p w:rsidR="001302D7" w:rsidRDefault="0046548E">
      <w:pPr>
        <w:pStyle w:val="Prrafodelista"/>
        <w:numPr>
          <w:ilvl w:val="0"/>
          <w:numId w:val="6"/>
        </w:numPr>
        <w:spacing w:before="11" w:line="256" w:lineRule="auto"/>
        <w:ind w:left="993" w:right="875"/>
        <w:jc w:val="both"/>
        <w:rPr>
          <w:sz w:val="24"/>
        </w:rPr>
      </w:pPr>
      <w:r>
        <w:rPr>
          <w:sz w:val="24"/>
        </w:rPr>
        <w:t>Libro: TLC Perú – Estados Unidos: contenido y aplicación</w:t>
      </w:r>
    </w:p>
    <w:p w:rsidR="001302D7" w:rsidRDefault="0046548E">
      <w:pPr>
        <w:pStyle w:val="Prrafodelista"/>
        <w:spacing w:before="11" w:line="256" w:lineRule="auto"/>
        <w:ind w:left="993" w:right="875" w:firstLine="0"/>
        <w:jc w:val="both"/>
        <w:rPr>
          <w:sz w:val="24"/>
        </w:rPr>
      </w:pPr>
      <w:r>
        <w:rPr>
          <w:sz w:val="24"/>
        </w:rPr>
        <w:t>Autor: Fernando Cantuarias Salaverry, Pierino Stucchi López Raygada</w:t>
      </w:r>
    </w:p>
    <w:p w:rsidR="001302D7" w:rsidRDefault="0046548E">
      <w:pPr>
        <w:pStyle w:val="Prrafodelista"/>
        <w:spacing w:before="11" w:line="256" w:lineRule="auto"/>
        <w:ind w:left="993" w:right="875" w:firstLine="0"/>
        <w:jc w:val="both"/>
        <w:rPr>
          <w:sz w:val="24"/>
        </w:rPr>
      </w:pPr>
      <w:r>
        <w:rPr>
          <w:sz w:val="24"/>
        </w:rPr>
        <w:t>Editorial(es): Universidad Peruana de Ciencias Aplicadas</w:t>
      </w:r>
    </w:p>
    <w:p w:rsidR="001302D7" w:rsidRDefault="0046548E">
      <w:pPr>
        <w:pStyle w:val="Prrafodelista"/>
        <w:spacing w:before="11" w:line="256" w:lineRule="auto"/>
        <w:ind w:left="993" w:right="875" w:firstLine="0"/>
        <w:jc w:val="both"/>
        <w:rPr>
          <w:sz w:val="24"/>
        </w:rPr>
      </w:pPr>
      <w:r>
        <w:rPr>
          <w:sz w:val="24"/>
        </w:rPr>
        <w:t>Lugar de publicación: Li</w:t>
      </w:r>
      <w:r>
        <w:rPr>
          <w:sz w:val="24"/>
        </w:rPr>
        <w:t>ma</w:t>
      </w:r>
    </w:p>
    <w:p w:rsidR="001302D7" w:rsidRDefault="0046548E">
      <w:pPr>
        <w:pStyle w:val="Prrafodelista"/>
        <w:spacing w:before="11" w:line="256" w:lineRule="auto"/>
        <w:ind w:left="993" w:right="875" w:firstLine="0"/>
        <w:jc w:val="both"/>
        <w:rPr>
          <w:sz w:val="24"/>
        </w:rPr>
      </w:pPr>
      <w:r>
        <w:rPr>
          <w:sz w:val="24"/>
        </w:rPr>
        <w:t>Año de edición: 2008</w:t>
      </w:r>
    </w:p>
    <w:p w:rsidR="001302D7" w:rsidRDefault="0046548E">
      <w:pPr>
        <w:pStyle w:val="Prrafodelista"/>
        <w:numPr>
          <w:ilvl w:val="0"/>
          <w:numId w:val="6"/>
        </w:numPr>
        <w:spacing w:before="11" w:line="256" w:lineRule="auto"/>
        <w:ind w:left="993" w:right="875"/>
        <w:jc w:val="both"/>
        <w:rPr>
          <w:sz w:val="24"/>
        </w:rPr>
      </w:pPr>
      <w:r>
        <w:rPr>
          <w:sz w:val="24"/>
        </w:rPr>
        <w:t>Libro: Tratados de Libre Comercio Retos y Oportunidades</w:t>
      </w:r>
    </w:p>
    <w:p w:rsidR="001302D7" w:rsidRDefault="0046548E">
      <w:pPr>
        <w:pStyle w:val="Prrafodelista"/>
        <w:spacing w:before="11" w:line="256" w:lineRule="auto"/>
        <w:ind w:left="993" w:right="875" w:firstLine="0"/>
        <w:jc w:val="both"/>
        <w:rPr>
          <w:sz w:val="24"/>
        </w:rPr>
      </w:pPr>
      <w:r>
        <w:rPr>
          <w:sz w:val="24"/>
        </w:rPr>
        <w:t>Edgar Van Den Berghe (Autor) · Ecoe Ediciones · Tapa Blanda</w:t>
      </w:r>
    </w:p>
    <w:p w:rsidR="001302D7" w:rsidRDefault="0046548E">
      <w:pPr>
        <w:pStyle w:val="Prrafodelista"/>
        <w:numPr>
          <w:ilvl w:val="0"/>
          <w:numId w:val="6"/>
        </w:numPr>
        <w:spacing w:before="11" w:line="256" w:lineRule="auto"/>
        <w:ind w:left="993" w:right="875"/>
        <w:jc w:val="both"/>
        <w:rPr>
          <w:sz w:val="24"/>
        </w:rPr>
      </w:pPr>
      <w:r>
        <w:rPr>
          <w:sz w:val="24"/>
        </w:rPr>
        <w:t>Libro: TRATADOS DE LIBRE COMERCIO. Retos y oportunidades</w:t>
      </w:r>
    </w:p>
    <w:p w:rsidR="001302D7" w:rsidRDefault="0046548E">
      <w:pPr>
        <w:pStyle w:val="Prrafodelista"/>
        <w:spacing w:before="11" w:line="256" w:lineRule="auto"/>
        <w:ind w:left="993" w:right="875" w:firstLine="0"/>
        <w:jc w:val="both"/>
        <w:rPr>
          <w:sz w:val="24"/>
        </w:rPr>
      </w:pPr>
      <w:r>
        <w:rPr>
          <w:sz w:val="24"/>
        </w:rPr>
        <w:t>EDGAR VAN DEN BERGHE R.</w:t>
      </w:r>
    </w:p>
    <w:p w:rsidR="001302D7" w:rsidRDefault="0046548E">
      <w:pPr>
        <w:pStyle w:val="Prrafodelista"/>
        <w:spacing w:before="11" w:line="256" w:lineRule="auto"/>
        <w:ind w:left="993" w:right="875" w:firstLine="0"/>
        <w:jc w:val="both"/>
        <w:rPr>
          <w:sz w:val="24"/>
        </w:rPr>
      </w:pPr>
      <w:r>
        <w:rPr>
          <w:sz w:val="24"/>
        </w:rPr>
        <w:t>Garro (Autor) · Abeledo Perrot · Li</w:t>
      </w:r>
      <w:r>
        <w:rPr>
          <w:sz w:val="24"/>
        </w:rPr>
        <w:t>bro Físico</w:t>
      </w:r>
    </w:p>
    <w:p w:rsidR="001302D7" w:rsidRDefault="0046548E">
      <w:pPr>
        <w:pStyle w:val="Prrafodelista"/>
        <w:numPr>
          <w:ilvl w:val="0"/>
          <w:numId w:val="7"/>
        </w:numPr>
        <w:ind w:left="993"/>
        <w:jc w:val="both"/>
        <w:rPr>
          <w:rFonts w:eastAsia="Times New Roman"/>
          <w:bCs/>
          <w:iCs/>
          <w:sz w:val="24"/>
          <w:szCs w:val="24"/>
          <w:lang w:eastAsia="es-ES"/>
        </w:rPr>
      </w:pPr>
      <w:r>
        <w:rPr>
          <w:rFonts w:eastAsia="Times New Roman"/>
          <w:bCs/>
          <w:iCs/>
          <w:sz w:val="24"/>
          <w:szCs w:val="24"/>
          <w:lang w:eastAsia="es-ES"/>
        </w:rPr>
        <w:t>Congreso de la República del Perú. (2023). Ley del Impuesto a la Renta – Artículos 55 al 57. Diario Oficial El Peruano.</w:t>
      </w:r>
    </w:p>
    <w:p w:rsidR="001302D7" w:rsidRDefault="001302D7">
      <w:pPr>
        <w:spacing w:line="360" w:lineRule="auto"/>
        <w:ind w:left="567"/>
        <w:jc w:val="both"/>
        <w:rPr>
          <w:rFonts w:eastAsia="Times New Roman"/>
          <w:b/>
          <w:iCs/>
          <w:sz w:val="24"/>
          <w:szCs w:val="24"/>
          <w:lang w:eastAsia="es-ES"/>
        </w:rPr>
      </w:pPr>
    </w:p>
    <w:p w:rsidR="001302D7" w:rsidRDefault="0046548E">
      <w:pPr>
        <w:spacing w:line="360" w:lineRule="auto"/>
        <w:ind w:left="567"/>
        <w:jc w:val="both"/>
        <w:rPr>
          <w:rFonts w:eastAsia="Times New Roman"/>
          <w:b/>
          <w:iCs/>
          <w:sz w:val="24"/>
          <w:szCs w:val="24"/>
          <w:lang w:eastAsia="es-ES"/>
        </w:rPr>
      </w:pPr>
      <w:r>
        <w:rPr>
          <w:rFonts w:eastAsia="Times New Roman"/>
          <w:b/>
          <w:iCs/>
          <w:sz w:val="24"/>
          <w:szCs w:val="24"/>
          <w:lang w:eastAsia="es-ES"/>
        </w:rPr>
        <w:t xml:space="preserve">UNIDAD DIDACTICA III: </w:t>
      </w:r>
    </w:p>
    <w:p w:rsidR="001302D7" w:rsidRDefault="0046548E">
      <w:pPr>
        <w:pStyle w:val="Prrafodelista"/>
        <w:numPr>
          <w:ilvl w:val="0"/>
          <w:numId w:val="8"/>
        </w:numPr>
        <w:tabs>
          <w:tab w:val="left" w:pos="831"/>
        </w:tabs>
        <w:spacing w:before="20"/>
        <w:rPr>
          <w:color w:val="000000" w:themeColor="text1"/>
          <w:sz w:val="24"/>
          <w:szCs w:val="24"/>
        </w:rPr>
      </w:pPr>
      <w:hyperlink r:id="rId7">
        <w:r>
          <w:rPr>
            <w:color w:val="000000" w:themeColor="text1"/>
            <w:sz w:val="24"/>
            <w:szCs w:val="24"/>
          </w:rPr>
          <w:t>http://www.expansion.com/diccionario-economico/</w:t>
        </w:r>
      </w:hyperlink>
    </w:p>
    <w:p w:rsidR="001302D7" w:rsidRDefault="0046548E">
      <w:pPr>
        <w:pStyle w:val="Prrafodelista"/>
        <w:numPr>
          <w:ilvl w:val="0"/>
          <w:numId w:val="8"/>
        </w:numPr>
        <w:tabs>
          <w:tab w:val="left" w:pos="831"/>
        </w:tabs>
        <w:spacing w:before="22"/>
        <w:rPr>
          <w:color w:val="000000" w:themeColor="text1"/>
          <w:sz w:val="24"/>
          <w:szCs w:val="24"/>
        </w:rPr>
      </w:pPr>
      <w:hyperlink r:id="rId8">
        <w:r>
          <w:rPr>
            <w:color w:val="000000" w:themeColor="text1"/>
            <w:sz w:val="24"/>
            <w:szCs w:val="24"/>
          </w:rPr>
          <w:t>https://www.bloomberg.com/</w:t>
        </w:r>
      </w:hyperlink>
    </w:p>
    <w:p w:rsidR="001302D7" w:rsidRDefault="0046548E">
      <w:pPr>
        <w:pStyle w:val="Prrafodelista"/>
        <w:numPr>
          <w:ilvl w:val="0"/>
          <w:numId w:val="8"/>
        </w:numPr>
        <w:tabs>
          <w:tab w:val="left" w:pos="831"/>
        </w:tabs>
        <w:spacing w:before="18"/>
        <w:rPr>
          <w:color w:val="000000" w:themeColor="text1"/>
          <w:sz w:val="24"/>
          <w:szCs w:val="24"/>
        </w:rPr>
      </w:pPr>
      <w:hyperlink r:id="rId9">
        <w:r>
          <w:rPr>
            <w:color w:val="000000" w:themeColor="text1"/>
            <w:sz w:val="24"/>
            <w:szCs w:val="24"/>
          </w:rPr>
          <w:t>http://www.acuerdoscomerciales.gob.pe/</w:t>
        </w:r>
      </w:hyperlink>
    </w:p>
    <w:p w:rsidR="001302D7" w:rsidRDefault="0046548E">
      <w:pPr>
        <w:pStyle w:val="Prrafodelista"/>
        <w:numPr>
          <w:ilvl w:val="0"/>
          <w:numId w:val="8"/>
        </w:numPr>
        <w:tabs>
          <w:tab w:val="left" w:pos="831"/>
        </w:tabs>
        <w:spacing w:before="18"/>
        <w:rPr>
          <w:color w:val="000000" w:themeColor="text1"/>
          <w:sz w:val="24"/>
          <w:szCs w:val="24"/>
        </w:rPr>
      </w:pPr>
      <w:r>
        <w:rPr>
          <w:color w:val="000000" w:themeColor="text1"/>
          <w:sz w:val="24"/>
          <w:szCs w:val="24"/>
        </w:rPr>
        <w:t>https://exportemos.pe/</w:t>
      </w:r>
    </w:p>
    <w:p w:rsidR="001302D7" w:rsidRDefault="0046548E">
      <w:pPr>
        <w:pStyle w:val="Prrafodelista"/>
        <w:widowControl/>
        <w:numPr>
          <w:ilvl w:val="0"/>
          <w:numId w:val="8"/>
        </w:numPr>
        <w:autoSpaceDE/>
        <w:autoSpaceDN/>
        <w:spacing w:before="100" w:beforeAutospacing="1" w:after="100" w:afterAutospacing="1"/>
        <w:rPr>
          <w:rFonts w:eastAsia="Times New Roman"/>
          <w:sz w:val="24"/>
          <w:szCs w:val="24"/>
          <w:lang w:val="es-PE" w:eastAsia="es-PE"/>
        </w:rPr>
      </w:pPr>
      <w:r>
        <w:rPr>
          <w:rFonts w:eastAsia="Times New Roman"/>
          <w:sz w:val="24"/>
          <w:szCs w:val="24"/>
          <w:lang w:val="es-PE" w:eastAsia="es-PE"/>
        </w:rPr>
        <w:t xml:space="preserve">Organización para la Cooperación y el Desarrollo Económicos (OCDE). (2022). </w:t>
      </w:r>
      <w:r>
        <w:rPr>
          <w:rFonts w:eastAsia="Times New Roman"/>
          <w:i/>
          <w:iCs/>
          <w:sz w:val="24"/>
          <w:szCs w:val="24"/>
          <w:lang w:val="es-PE" w:eastAsia="es-PE"/>
        </w:rPr>
        <w:t>OECD Model Tax Convention on Income and on Capital</w:t>
      </w:r>
      <w:r>
        <w:rPr>
          <w:rFonts w:eastAsia="Times New Roman"/>
          <w:sz w:val="24"/>
          <w:szCs w:val="24"/>
          <w:lang w:val="es-PE" w:eastAsia="es-PE"/>
        </w:rPr>
        <w:t>. OECD Publishing.</w:t>
      </w:r>
    </w:p>
    <w:p w:rsidR="001302D7" w:rsidRDefault="0046548E">
      <w:pPr>
        <w:pStyle w:val="Prrafodelista"/>
        <w:widowControl/>
        <w:numPr>
          <w:ilvl w:val="0"/>
          <w:numId w:val="8"/>
        </w:numPr>
        <w:autoSpaceDE/>
        <w:autoSpaceDN/>
        <w:spacing w:before="100" w:beforeAutospacing="1" w:after="100" w:afterAutospacing="1"/>
        <w:rPr>
          <w:rFonts w:eastAsia="Times New Roman"/>
          <w:sz w:val="24"/>
          <w:szCs w:val="24"/>
          <w:lang w:val="es-PE" w:eastAsia="es-PE"/>
        </w:rPr>
      </w:pPr>
      <w:r>
        <w:rPr>
          <w:rFonts w:eastAsia="Times New Roman"/>
          <w:sz w:val="24"/>
          <w:szCs w:val="24"/>
          <w:lang w:val="es-PE" w:eastAsia="es-PE"/>
        </w:rPr>
        <w:t xml:space="preserve">Vázquez, M. (2021). </w:t>
      </w:r>
      <w:r>
        <w:rPr>
          <w:rFonts w:eastAsia="Times New Roman"/>
          <w:i/>
          <w:iCs/>
          <w:sz w:val="24"/>
          <w:szCs w:val="24"/>
          <w:lang w:val="es-PE" w:eastAsia="es-PE"/>
        </w:rPr>
        <w:t>Estrategias para la eliminación de la doble tributación: análisis comparativo de los conven</w:t>
      </w:r>
      <w:r>
        <w:rPr>
          <w:rFonts w:eastAsia="Times New Roman"/>
          <w:i/>
          <w:iCs/>
          <w:sz w:val="24"/>
          <w:szCs w:val="24"/>
          <w:lang w:val="es-PE" w:eastAsia="es-PE"/>
        </w:rPr>
        <w:t>ios internacionales</w:t>
      </w:r>
      <w:r>
        <w:rPr>
          <w:rFonts w:eastAsia="Times New Roman"/>
          <w:sz w:val="24"/>
          <w:szCs w:val="24"/>
          <w:lang w:val="es-PE" w:eastAsia="es-PE"/>
        </w:rPr>
        <w:t>. Revista de Derecho Tributario Internacional, 15(2), 45-67.</w:t>
      </w:r>
    </w:p>
    <w:p w:rsidR="001302D7" w:rsidRDefault="0046548E">
      <w:pPr>
        <w:pStyle w:val="Prrafodelista"/>
        <w:numPr>
          <w:ilvl w:val="0"/>
          <w:numId w:val="8"/>
        </w:numPr>
        <w:jc w:val="both"/>
        <w:rPr>
          <w:rFonts w:eastAsia="Times New Roman"/>
          <w:iCs/>
          <w:sz w:val="24"/>
          <w:szCs w:val="24"/>
          <w:lang w:eastAsia="es-ES"/>
        </w:rPr>
      </w:pPr>
      <w:r>
        <w:rPr>
          <w:rFonts w:eastAsia="Times New Roman"/>
          <w:iCs/>
          <w:sz w:val="24"/>
          <w:szCs w:val="24"/>
          <w:lang w:eastAsia="es-ES"/>
        </w:rPr>
        <w:t>Naciones Unidas. (2020). Manual sobre Convenios Tributarios para Países en Desarrollo. ONU.</w:t>
      </w:r>
    </w:p>
    <w:p w:rsidR="001302D7" w:rsidRDefault="001302D7">
      <w:pPr>
        <w:spacing w:line="360" w:lineRule="auto"/>
        <w:ind w:left="567"/>
        <w:jc w:val="both"/>
        <w:rPr>
          <w:rFonts w:eastAsia="Times New Roman"/>
          <w:b/>
          <w:iCs/>
          <w:sz w:val="24"/>
          <w:szCs w:val="24"/>
          <w:lang w:eastAsia="es-ES"/>
        </w:rPr>
      </w:pPr>
    </w:p>
    <w:p w:rsidR="001302D7" w:rsidRDefault="0046548E">
      <w:pPr>
        <w:widowControl/>
        <w:autoSpaceDE/>
        <w:autoSpaceDN/>
        <w:rPr>
          <w:rFonts w:eastAsia="Times New Roman"/>
          <w:b/>
          <w:iCs/>
          <w:sz w:val="24"/>
          <w:szCs w:val="24"/>
          <w:lang w:eastAsia="es-ES"/>
        </w:rPr>
      </w:pPr>
      <w:r>
        <w:rPr>
          <w:rFonts w:eastAsia="Times New Roman"/>
          <w:b/>
          <w:iCs/>
          <w:sz w:val="24"/>
          <w:szCs w:val="24"/>
          <w:lang w:eastAsia="es-ES"/>
        </w:rPr>
        <w:br w:type="page"/>
      </w:r>
    </w:p>
    <w:p w:rsidR="001302D7" w:rsidRDefault="0046548E">
      <w:pPr>
        <w:spacing w:line="360" w:lineRule="auto"/>
        <w:ind w:left="567"/>
        <w:jc w:val="both"/>
        <w:rPr>
          <w:rFonts w:eastAsia="Times New Roman"/>
          <w:b/>
          <w:iCs/>
          <w:sz w:val="24"/>
          <w:szCs w:val="24"/>
          <w:lang w:eastAsia="es-ES"/>
        </w:rPr>
      </w:pPr>
      <w:r>
        <w:rPr>
          <w:rFonts w:eastAsia="Times New Roman"/>
          <w:b/>
          <w:iCs/>
          <w:sz w:val="24"/>
          <w:szCs w:val="24"/>
          <w:lang w:eastAsia="es-ES"/>
        </w:rPr>
        <w:lastRenderedPageBreak/>
        <w:t xml:space="preserve">UNIDAD DIDACTICA IV: </w:t>
      </w:r>
    </w:p>
    <w:p w:rsidR="001302D7" w:rsidRDefault="0046548E">
      <w:pPr>
        <w:pStyle w:val="Prrafodelista"/>
        <w:numPr>
          <w:ilvl w:val="0"/>
          <w:numId w:val="8"/>
        </w:numPr>
        <w:tabs>
          <w:tab w:val="left" w:pos="831"/>
        </w:tabs>
        <w:spacing w:before="20"/>
        <w:rPr>
          <w:color w:val="000000" w:themeColor="text1"/>
          <w:sz w:val="24"/>
        </w:rPr>
      </w:pPr>
      <w:hyperlink r:id="rId10" w:history="1">
        <w:r>
          <w:rPr>
            <w:rStyle w:val="Hipervnculo"/>
            <w:sz w:val="24"/>
          </w:rPr>
          <w:t>http://www.com</w:t>
        </w:r>
        <w:r>
          <w:rPr>
            <w:rStyle w:val="Hipervnculo"/>
            <w:sz w:val="24"/>
          </w:rPr>
          <w:t>unidadandina.org/</w:t>
        </w:r>
      </w:hyperlink>
    </w:p>
    <w:p w:rsidR="001302D7" w:rsidRDefault="0046548E">
      <w:pPr>
        <w:pStyle w:val="Prrafodelista"/>
        <w:numPr>
          <w:ilvl w:val="0"/>
          <w:numId w:val="8"/>
        </w:numPr>
        <w:tabs>
          <w:tab w:val="left" w:pos="831"/>
        </w:tabs>
        <w:spacing w:before="23"/>
        <w:rPr>
          <w:color w:val="000000" w:themeColor="text1"/>
          <w:sz w:val="24"/>
        </w:rPr>
      </w:pPr>
      <w:r>
        <w:rPr>
          <w:color w:val="000000" w:themeColor="text1"/>
          <w:sz w:val="24"/>
        </w:rPr>
        <w:t>https:/</w:t>
      </w:r>
      <w:hyperlink r:id="rId11">
        <w:r>
          <w:rPr>
            <w:color w:val="000000" w:themeColor="text1"/>
            <w:sz w:val="24"/>
          </w:rPr>
          <w:t>/www.mincetu</w:t>
        </w:r>
      </w:hyperlink>
      <w:r>
        <w:rPr>
          <w:color w:val="000000" w:themeColor="text1"/>
          <w:sz w:val="24"/>
        </w:rPr>
        <w:t>r</w:t>
      </w:r>
      <w:hyperlink r:id="rId12">
        <w:r>
          <w:rPr>
            <w:color w:val="000000" w:themeColor="text1"/>
            <w:sz w:val="24"/>
          </w:rPr>
          <w:t>.gob.pe/comercio-exterior/acuerdos-comerciales/</w:t>
        </w:r>
      </w:hyperlink>
    </w:p>
    <w:p w:rsidR="001302D7" w:rsidRDefault="0046548E">
      <w:pPr>
        <w:pStyle w:val="Prrafodelista"/>
        <w:numPr>
          <w:ilvl w:val="2"/>
          <w:numId w:val="8"/>
        </w:numPr>
        <w:spacing w:before="20"/>
        <w:ind w:left="851"/>
        <w:rPr>
          <w:color w:val="000000" w:themeColor="text1"/>
          <w:sz w:val="24"/>
        </w:rPr>
      </w:pPr>
      <w:hyperlink r:id="rId13">
        <w:r>
          <w:rPr>
            <w:color w:val="000000" w:themeColor="text1"/>
            <w:sz w:val="24"/>
          </w:rPr>
          <w:t>http://www.aladi.org/</w:t>
        </w:r>
      </w:hyperlink>
    </w:p>
    <w:p w:rsidR="001302D7" w:rsidRDefault="0046548E">
      <w:pPr>
        <w:pStyle w:val="Prrafodelista"/>
        <w:numPr>
          <w:ilvl w:val="2"/>
          <w:numId w:val="8"/>
        </w:numPr>
        <w:spacing w:before="20"/>
        <w:ind w:left="851"/>
        <w:jc w:val="both"/>
        <w:rPr>
          <w:color w:val="000000" w:themeColor="text1"/>
          <w:sz w:val="24"/>
        </w:rPr>
      </w:pPr>
      <w:r>
        <w:rPr>
          <w:color w:val="000000" w:themeColor="text1"/>
          <w:sz w:val="24"/>
        </w:rPr>
        <w:t>Comunidad Andina de Naciones (CAN). (2004). Decisión 578: Convenio para evitar la doble imposición entre los países de la CAN. Secretaría Gene</w:t>
      </w:r>
      <w:r>
        <w:rPr>
          <w:color w:val="000000" w:themeColor="text1"/>
          <w:sz w:val="24"/>
        </w:rPr>
        <w:t>ral de la CAN.</w:t>
      </w:r>
    </w:p>
    <w:p w:rsidR="001302D7" w:rsidRDefault="0046548E">
      <w:pPr>
        <w:pStyle w:val="Prrafodelista"/>
        <w:numPr>
          <w:ilvl w:val="2"/>
          <w:numId w:val="8"/>
        </w:numPr>
        <w:spacing w:before="20"/>
        <w:ind w:left="851"/>
        <w:jc w:val="both"/>
        <w:rPr>
          <w:color w:val="000000" w:themeColor="text1"/>
          <w:sz w:val="24"/>
        </w:rPr>
      </w:pPr>
      <w:r>
        <w:rPr>
          <w:color w:val="000000" w:themeColor="text1"/>
          <w:sz w:val="24"/>
        </w:rPr>
        <w:t>SUNAT. (2023). Guía de aplicación del Convenio para evitar la doble imposición Perú-Chile. Superintendencia Nacional de Administración Tributaria.</w:t>
      </w:r>
    </w:p>
    <w:p w:rsidR="001302D7" w:rsidRDefault="0046548E">
      <w:pPr>
        <w:pStyle w:val="Prrafodelista"/>
        <w:numPr>
          <w:ilvl w:val="2"/>
          <w:numId w:val="8"/>
        </w:numPr>
        <w:spacing w:before="20"/>
        <w:ind w:left="851"/>
        <w:jc w:val="both"/>
        <w:rPr>
          <w:color w:val="000000" w:themeColor="text1"/>
          <w:sz w:val="24"/>
        </w:rPr>
      </w:pPr>
      <w:r>
        <w:rPr>
          <w:color w:val="000000" w:themeColor="text1"/>
          <w:sz w:val="24"/>
        </w:rPr>
        <w:t>García, A. (2022). Análisis de la Decisión 578 y su impacto en la tributación intracomunitaria</w:t>
      </w:r>
      <w:r>
        <w:rPr>
          <w:color w:val="000000" w:themeColor="text1"/>
          <w:sz w:val="24"/>
        </w:rPr>
        <w:t xml:space="preserve"> en la CAN. Revista de Integración Económica Andina, 10(1), 77-98.</w:t>
      </w:r>
    </w:p>
    <w:p w:rsidR="001302D7" w:rsidRDefault="001302D7">
      <w:pPr>
        <w:pStyle w:val="Ttulo1"/>
        <w:tabs>
          <w:tab w:val="left" w:pos="687"/>
        </w:tabs>
        <w:spacing w:before="81"/>
        <w:jc w:val="right"/>
      </w:pPr>
    </w:p>
    <w:p w:rsidR="001302D7" w:rsidRDefault="0046548E">
      <w:pPr>
        <w:pStyle w:val="Ttulo1"/>
        <w:numPr>
          <w:ilvl w:val="0"/>
          <w:numId w:val="1"/>
        </w:numPr>
        <w:tabs>
          <w:tab w:val="left" w:pos="687"/>
        </w:tabs>
        <w:spacing w:before="81"/>
        <w:ind w:left="686" w:hanging="568"/>
        <w:jc w:val="left"/>
      </w:pPr>
      <w:r>
        <w:t xml:space="preserve">PROBLEMAS QUE EL ESTUDIANTE RESOLVERÀ AL FINALIZAR EL CURSO </w:t>
      </w:r>
    </w:p>
    <w:p w:rsidR="001302D7" w:rsidRDefault="001302D7">
      <w:pPr>
        <w:pStyle w:val="Prrafodelista"/>
        <w:spacing w:line="216" w:lineRule="auto"/>
        <w:ind w:left="1146"/>
        <w:rPr>
          <w:b/>
          <w:bCs/>
          <w:sz w:val="4"/>
          <w:szCs w:val="4"/>
        </w:rPr>
      </w:pPr>
    </w:p>
    <w:p w:rsidR="001302D7" w:rsidRDefault="001302D7">
      <w:pPr>
        <w:ind w:right="-1"/>
        <w:jc w:val="center"/>
        <w:rPr>
          <w:b/>
          <w:sz w:val="18"/>
          <w:szCs w:val="18"/>
        </w:rPr>
      </w:pPr>
    </w:p>
    <w:tbl>
      <w:tblPr>
        <w:tblStyle w:val="Tablaconcuadrcula"/>
        <w:tblpPr w:leftFromText="141" w:rightFromText="141" w:vertAnchor="text" w:horzAnchor="margin" w:tblpXSpec="center" w:tblpY="-48"/>
        <w:tblW w:w="0" w:type="auto"/>
        <w:tblLook w:val="04A0" w:firstRow="1" w:lastRow="0" w:firstColumn="1" w:lastColumn="0" w:noHBand="0" w:noVBand="1"/>
      </w:tblPr>
      <w:tblGrid>
        <w:gridCol w:w="3169"/>
        <w:gridCol w:w="3034"/>
        <w:gridCol w:w="3517"/>
      </w:tblGrid>
      <w:tr w:rsidR="001302D7">
        <w:trPr>
          <w:trHeight w:val="1048"/>
        </w:trPr>
        <w:tc>
          <w:tcPr>
            <w:tcW w:w="3169" w:type="dxa"/>
            <w:shd w:val="clear" w:color="auto" w:fill="D9D9D9" w:themeFill="background1" w:themeFillShade="D9"/>
            <w:vAlign w:val="center"/>
          </w:tcPr>
          <w:p w:rsidR="001302D7" w:rsidRDefault="0046548E">
            <w:pPr>
              <w:pStyle w:val="Prrafodelista"/>
              <w:ind w:left="0" w:hanging="109"/>
              <w:jc w:val="center"/>
              <w:rPr>
                <w:b/>
                <w:sz w:val="18"/>
                <w:szCs w:val="18"/>
              </w:rPr>
            </w:pPr>
            <w:r>
              <w:rPr>
                <w:b/>
                <w:sz w:val="18"/>
                <w:szCs w:val="18"/>
              </w:rPr>
              <w:t>MAGNITUD CAUSAL OBJETO DEL PROBLEMA</w:t>
            </w:r>
          </w:p>
        </w:tc>
        <w:tc>
          <w:tcPr>
            <w:tcW w:w="3034" w:type="dxa"/>
            <w:shd w:val="clear" w:color="auto" w:fill="D9D9D9" w:themeFill="background1" w:themeFillShade="D9"/>
            <w:vAlign w:val="center"/>
          </w:tcPr>
          <w:p w:rsidR="001302D7" w:rsidRDefault="0046548E">
            <w:pPr>
              <w:pStyle w:val="Prrafodelista"/>
              <w:ind w:left="178" w:hanging="283"/>
              <w:jc w:val="center"/>
              <w:rPr>
                <w:b/>
                <w:sz w:val="18"/>
                <w:szCs w:val="18"/>
              </w:rPr>
            </w:pPr>
            <w:r>
              <w:rPr>
                <w:b/>
                <w:sz w:val="18"/>
                <w:szCs w:val="18"/>
              </w:rPr>
              <w:t>ACCIÓN MÉTRICA DE VINCULACIÓN</w:t>
            </w:r>
          </w:p>
        </w:tc>
        <w:tc>
          <w:tcPr>
            <w:tcW w:w="3517" w:type="dxa"/>
            <w:shd w:val="clear" w:color="auto" w:fill="D9D9D9" w:themeFill="background1" w:themeFillShade="D9"/>
            <w:vAlign w:val="center"/>
          </w:tcPr>
          <w:p w:rsidR="001302D7" w:rsidRDefault="0046548E">
            <w:pPr>
              <w:pStyle w:val="Prrafodelista"/>
              <w:ind w:left="101"/>
              <w:jc w:val="center"/>
              <w:rPr>
                <w:b/>
                <w:sz w:val="18"/>
                <w:szCs w:val="18"/>
              </w:rPr>
            </w:pPr>
            <w:r>
              <w:rPr>
                <w:b/>
                <w:sz w:val="18"/>
                <w:szCs w:val="18"/>
              </w:rPr>
              <w:t xml:space="preserve">CONSECUENCIA MÉTRICA VINCULANTE DE LA </w:t>
            </w:r>
          </w:p>
          <w:p w:rsidR="001302D7" w:rsidRDefault="0046548E">
            <w:pPr>
              <w:pStyle w:val="Prrafodelista"/>
              <w:ind w:left="101"/>
              <w:jc w:val="center"/>
              <w:rPr>
                <w:b/>
                <w:sz w:val="18"/>
                <w:szCs w:val="18"/>
              </w:rPr>
            </w:pPr>
            <w:r>
              <w:rPr>
                <w:b/>
                <w:sz w:val="18"/>
                <w:szCs w:val="18"/>
              </w:rPr>
              <w:t>ACCIÓN</w:t>
            </w:r>
          </w:p>
        </w:tc>
      </w:tr>
      <w:tr w:rsidR="001302D7">
        <w:trPr>
          <w:trHeight w:val="780"/>
        </w:trPr>
        <w:tc>
          <w:tcPr>
            <w:tcW w:w="3169" w:type="dxa"/>
          </w:tcPr>
          <w:p w:rsidR="001302D7" w:rsidRDefault="0046548E">
            <w:pPr>
              <w:pStyle w:val="Prrafodelista"/>
              <w:tabs>
                <w:tab w:val="left" w:pos="2583"/>
              </w:tabs>
              <w:ind w:left="31" w:right="29" w:hanging="1"/>
              <w:jc w:val="both"/>
              <w:rPr>
                <w:sz w:val="18"/>
                <w:szCs w:val="18"/>
              </w:rPr>
            </w:pPr>
            <w:r>
              <w:t xml:space="preserve">Falta de </w:t>
            </w:r>
            <w:r>
              <w:t>conocimiento sobre los Tratados de Libre Comercio (TLC) y su impacto en la economía nacional.</w:t>
            </w:r>
          </w:p>
        </w:tc>
        <w:tc>
          <w:tcPr>
            <w:tcW w:w="3034" w:type="dxa"/>
          </w:tcPr>
          <w:p w:rsidR="001302D7" w:rsidRDefault="0046548E">
            <w:pPr>
              <w:pStyle w:val="Prrafodelista"/>
              <w:ind w:left="31" w:right="29" w:hanging="31"/>
              <w:jc w:val="center"/>
              <w:rPr>
                <w:sz w:val="18"/>
                <w:szCs w:val="18"/>
              </w:rPr>
            </w:pPr>
            <w:r>
              <w:t>Análisis del concepto y alcances de los TLC en la facilitación del comercio exterior.</w:t>
            </w:r>
          </w:p>
        </w:tc>
        <w:tc>
          <w:tcPr>
            <w:tcW w:w="3517" w:type="dxa"/>
          </w:tcPr>
          <w:p w:rsidR="001302D7" w:rsidRDefault="0046548E">
            <w:pPr>
              <w:pStyle w:val="Prrafodelista"/>
              <w:ind w:left="31" w:right="29" w:hanging="31"/>
              <w:jc w:val="both"/>
              <w:rPr>
                <w:sz w:val="18"/>
                <w:szCs w:val="18"/>
              </w:rPr>
            </w:pPr>
            <w:r>
              <w:t xml:space="preserve">Mayor aprovechamiento de los beneficios comerciales y reducción de barreras </w:t>
            </w:r>
            <w:r>
              <w:t>arancelarias en un 35%.</w:t>
            </w:r>
          </w:p>
        </w:tc>
      </w:tr>
      <w:tr w:rsidR="001302D7">
        <w:trPr>
          <w:trHeight w:val="833"/>
        </w:trPr>
        <w:tc>
          <w:tcPr>
            <w:tcW w:w="3169" w:type="dxa"/>
          </w:tcPr>
          <w:p w:rsidR="001302D7" w:rsidRDefault="0046548E">
            <w:pPr>
              <w:pStyle w:val="Prrafodelista"/>
              <w:tabs>
                <w:tab w:val="left" w:pos="2583"/>
              </w:tabs>
              <w:ind w:left="31" w:right="29" w:hanging="31"/>
              <w:jc w:val="both"/>
              <w:rPr>
                <w:sz w:val="18"/>
                <w:szCs w:val="18"/>
              </w:rPr>
            </w:pPr>
            <w:r>
              <w:t>Desconocimiento del impuesto a la renta de los no domiciliados y su relación con la tributación en Perú.</w:t>
            </w:r>
          </w:p>
        </w:tc>
        <w:tc>
          <w:tcPr>
            <w:tcW w:w="3034" w:type="dxa"/>
          </w:tcPr>
          <w:p w:rsidR="001302D7" w:rsidRDefault="0046548E">
            <w:pPr>
              <w:pStyle w:val="Prrafodelista"/>
              <w:ind w:left="31" w:right="29" w:hanging="31"/>
              <w:jc w:val="center"/>
              <w:rPr>
                <w:sz w:val="18"/>
                <w:szCs w:val="18"/>
              </w:rPr>
            </w:pPr>
            <w:r>
              <w:t>Estudio de los criterios de vinculación con rentas de fuente peruana según la legislación tributaria.</w:t>
            </w:r>
          </w:p>
        </w:tc>
        <w:tc>
          <w:tcPr>
            <w:tcW w:w="3517" w:type="dxa"/>
          </w:tcPr>
          <w:p w:rsidR="001302D7" w:rsidRDefault="0046548E">
            <w:pPr>
              <w:pStyle w:val="Prrafodelista"/>
              <w:ind w:left="31" w:right="29" w:hanging="31"/>
              <w:jc w:val="both"/>
              <w:rPr>
                <w:sz w:val="18"/>
                <w:szCs w:val="18"/>
              </w:rPr>
            </w:pPr>
            <w:r>
              <w:t xml:space="preserve">Optimización del </w:t>
            </w:r>
            <w:r>
              <w:t>cumplimiento tributario y reducción de riesgos de sanciones fiscales en un 40%.</w:t>
            </w:r>
          </w:p>
        </w:tc>
      </w:tr>
      <w:tr w:rsidR="001302D7">
        <w:trPr>
          <w:trHeight w:val="930"/>
        </w:trPr>
        <w:tc>
          <w:tcPr>
            <w:tcW w:w="3169" w:type="dxa"/>
          </w:tcPr>
          <w:p w:rsidR="001302D7" w:rsidRDefault="0046548E">
            <w:pPr>
              <w:pStyle w:val="Prrafodelista"/>
              <w:tabs>
                <w:tab w:val="left" w:pos="2583"/>
              </w:tabs>
              <w:ind w:left="31" w:right="29" w:hanging="31"/>
              <w:jc w:val="both"/>
              <w:rPr>
                <w:sz w:val="18"/>
                <w:szCs w:val="18"/>
              </w:rPr>
            </w:pPr>
            <w:r>
              <w:t>Confusión en la aplicación del marco legal de los tratados internacionales según la Ley del Impuesto a la Renta (LIR).</w:t>
            </w:r>
          </w:p>
        </w:tc>
        <w:tc>
          <w:tcPr>
            <w:tcW w:w="3034" w:type="dxa"/>
          </w:tcPr>
          <w:p w:rsidR="001302D7" w:rsidRDefault="0046548E">
            <w:pPr>
              <w:pStyle w:val="Prrafodelista"/>
              <w:tabs>
                <w:tab w:val="left" w:pos="313"/>
              </w:tabs>
              <w:ind w:left="31" w:right="29" w:hanging="31"/>
              <w:jc w:val="center"/>
              <w:rPr>
                <w:sz w:val="18"/>
                <w:szCs w:val="18"/>
              </w:rPr>
            </w:pPr>
            <w:r>
              <w:t xml:space="preserve">Evaluación de los artículos 55 al 57 de la LIR y su </w:t>
            </w:r>
            <w:r>
              <w:t>clasificación como fuentes del derecho tributario.</w:t>
            </w:r>
          </w:p>
        </w:tc>
        <w:tc>
          <w:tcPr>
            <w:tcW w:w="3517" w:type="dxa"/>
          </w:tcPr>
          <w:p w:rsidR="001302D7" w:rsidRDefault="0046548E">
            <w:pPr>
              <w:pStyle w:val="Prrafodelista"/>
              <w:tabs>
                <w:tab w:val="left" w:pos="2583"/>
              </w:tabs>
              <w:ind w:left="31" w:right="29" w:hanging="31"/>
              <w:jc w:val="both"/>
              <w:rPr>
                <w:sz w:val="18"/>
                <w:szCs w:val="18"/>
              </w:rPr>
            </w:pPr>
            <w:r>
              <w:t>Mejor interpretación y aplicación de los tratados internacionales en la planificación fiscal.</w:t>
            </w:r>
          </w:p>
        </w:tc>
      </w:tr>
      <w:tr w:rsidR="001302D7">
        <w:trPr>
          <w:trHeight w:val="1061"/>
        </w:trPr>
        <w:tc>
          <w:tcPr>
            <w:tcW w:w="3169" w:type="dxa"/>
          </w:tcPr>
          <w:p w:rsidR="001302D7" w:rsidRDefault="0046548E">
            <w:pPr>
              <w:pStyle w:val="Prrafodelista"/>
              <w:ind w:left="31" w:right="29" w:firstLine="31"/>
              <w:jc w:val="both"/>
              <w:rPr>
                <w:sz w:val="18"/>
                <w:szCs w:val="18"/>
              </w:rPr>
            </w:pPr>
            <w:r>
              <w:t>Desconocimiento de los conceptos de vinculación con sujetos no domiciliados según la LIR.</w:t>
            </w:r>
          </w:p>
        </w:tc>
        <w:tc>
          <w:tcPr>
            <w:tcW w:w="3034" w:type="dxa"/>
          </w:tcPr>
          <w:p w:rsidR="001302D7" w:rsidRDefault="0046548E">
            <w:pPr>
              <w:pStyle w:val="Prrafodelista"/>
              <w:ind w:left="31" w:right="29" w:hanging="31"/>
              <w:jc w:val="center"/>
              <w:rPr>
                <w:sz w:val="18"/>
                <w:szCs w:val="18"/>
              </w:rPr>
            </w:pPr>
            <w:r>
              <w:t>Análisis de los crit</w:t>
            </w:r>
            <w:r>
              <w:t>erios de vinculación y su impacto en la tributación de empresas extranjeras.</w:t>
            </w:r>
          </w:p>
        </w:tc>
        <w:tc>
          <w:tcPr>
            <w:tcW w:w="3517" w:type="dxa"/>
          </w:tcPr>
          <w:p w:rsidR="001302D7" w:rsidRDefault="0046548E">
            <w:pPr>
              <w:pStyle w:val="Prrafodelista"/>
              <w:ind w:left="31" w:right="29" w:hanging="31"/>
              <w:jc w:val="both"/>
              <w:rPr>
                <w:sz w:val="18"/>
                <w:szCs w:val="18"/>
              </w:rPr>
            </w:pPr>
            <w:r>
              <w:t>Reducción de errores en la aplicación de normativas fiscales y mejora en la gestión tributaria internacional.</w:t>
            </w:r>
          </w:p>
        </w:tc>
      </w:tr>
      <w:tr w:rsidR="001302D7">
        <w:trPr>
          <w:trHeight w:val="991"/>
        </w:trPr>
        <w:tc>
          <w:tcPr>
            <w:tcW w:w="3169" w:type="dxa"/>
          </w:tcPr>
          <w:p w:rsidR="001302D7" w:rsidRDefault="0046548E">
            <w:pPr>
              <w:pStyle w:val="Prrafodelista"/>
              <w:ind w:left="31" w:right="29" w:firstLine="31"/>
              <w:jc w:val="both"/>
              <w:rPr>
                <w:sz w:val="18"/>
                <w:szCs w:val="18"/>
              </w:rPr>
            </w:pPr>
            <w:r>
              <w:t xml:space="preserve">Falta de comprensión sobre la doble imposición internacional y los </w:t>
            </w:r>
            <w:r>
              <w:t>convenios para evitarla.</w:t>
            </w:r>
          </w:p>
        </w:tc>
        <w:tc>
          <w:tcPr>
            <w:tcW w:w="3034" w:type="dxa"/>
          </w:tcPr>
          <w:p w:rsidR="001302D7" w:rsidRDefault="0046548E">
            <w:pPr>
              <w:pStyle w:val="Prrafodelista"/>
              <w:ind w:left="31" w:right="29" w:hanging="31"/>
              <w:jc w:val="center"/>
              <w:rPr>
                <w:sz w:val="18"/>
                <w:szCs w:val="18"/>
              </w:rPr>
            </w:pPr>
            <w:r>
              <w:t>Estudio del Convenio Modelo OCDE y su impacto en la eliminación de la doble tributación.</w:t>
            </w:r>
          </w:p>
        </w:tc>
        <w:tc>
          <w:tcPr>
            <w:tcW w:w="3517" w:type="dxa"/>
          </w:tcPr>
          <w:p w:rsidR="001302D7" w:rsidRDefault="0046548E">
            <w:pPr>
              <w:pStyle w:val="Prrafodelista"/>
              <w:ind w:left="31" w:right="29" w:hanging="31"/>
              <w:jc w:val="both"/>
              <w:rPr>
                <w:sz w:val="18"/>
                <w:szCs w:val="18"/>
              </w:rPr>
            </w:pPr>
            <w:r>
              <w:t>Disminución del 50% en costos tributarios derivados de la doble imposición.</w:t>
            </w:r>
          </w:p>
        </w:tc>
      </w:tr>
      <w:tr w:rsidR="001302D7">
        <w:trPr>
          <w:trHeight w:val="963"/>
        </w:trPr>
        <w:tc>
          <w:tcPr>
            <w:tcW w:w="3169" w:type="dxa"/>
          </w:tcPr>
          <w:p w:rsidR="001302D7" w:rsidRDefault="0046548E">
            <w:pPr>
              <w:pStyle w:val="Prrafodelista"/>
              <w:ind w:left="31" w:right="29" w:firstLine="31"/>
              <w:jc w:val="both"/>
              <w:rPr>
                <w:sz w:val="18"/>
                <w:szCs w:val="18"/>
              </w:rPr>
            </w:pPr>
            <w:r>
              <w:t>Dificultad en la interpretación y aplicación de los modelos de Co</w:t>
            </w:r>
            <w:r>
              <w:t>nvenios para Evitar la Doble Imposición (CDI).</w:t>
            </w:r>
          </w:p>
        </w:tc>
        <w:tc>
          <w:tcPr>
            <w:tcW w:w="3034" w:type="dxa"/>
          </w:tcPr>
          <w:p w:rsidR="001302D7" w:rsidRDefault="0046548E">
            <w:pPr>
              <w:pStyle w:val="Prrafodelista"/>
              <w:ind w:left="31" w:right="29" w:hanging="31"/>
              <w:jc w:val="center"/>
              <w:rPr>
                <w:sz w:val="18"/>
                <w:szCs w:val="18"/>
              </w:rPr>
            </w:pPr>
            <w:r>
              <w:t>Comparación de los modelos de CDI con la República de Chile y su implementación en la práctica.</w:t>
            </w:r>
          </w:p>
        </w:tc>
        <w:tc>
          <w:tcPr>
            <w:tcW w:w="3517" w:type="dxa"/>
          </w:tcPr>
          <w:p w:rsidR="001302D7" w:rsidRDefault="0046548E">
            <w:pPr>
              <w:pStyle w:val="Prrafodelista"/>
              <w:ind w:left="31" w:right="29" w:hanging="31"/>
              <w:jc w:val="both"/>
              <w:rPr>
                <w:sz w:val="18"/>
                <w:szCs w:val="18"/>
              </w:rPr>
            </w:pPr>
            <w:r>
              <w:t>Mejora en la planificación fiscal y aprovechamiento de beneficios tributarios.</w:t>
            </w:r>
          </w:p>
        </w:tc>
      </w:tr>
      <w:tr w:rsidR="001302D7">
        <w:trPr>
          <w:trHeight w:val="1077"/>
        </w:trPr>
        <w:tc>
          <w:tcPr>
            <w:tcW w:w="3169" w:type="dxa"/>
          </w:tcPr>
          <w:p w:rsidR="001302D7" w:rsidRDefault="0046548E">
            <w:pPr>
              <w:pStyle w:val="Prrafodelista"/>
              <w:ind w:left="31" w:right="29" w:firstLine="31"/>
              <w:jc w:val="both"/>
            </w:pPr>
            <w:r>
              <w:t xml:space="preserve">Falta de claridad sobre la </w:t>
            </w:r>
            <w:r>
              <w:t>Decisión 578 de la Comunidad Andina de Naciones (CAN) y su impacto en la tributación regional.</w:t>
            </w:r>
          </w:p>
        </w:tc>
        <w:tc>
          <w:tcPr>
            <w:tcW w:w="3034" w:type="dxa"/>
          </w:tcPr>
          <w:p w:rsidR="001302D7" w:rsidRDefault="0046548E">
            <w:pPr>
              <w:pStyle w:val="Prrafodelista"/>
              <w:ind w:left="31" w:right="29" w:hanging="31"/>
              <w:jc w:val="center"/>
            </w:pPr>
            <w:r>
              <w:t>Análisis de la Decisión 578 y su aplicación en la armonización fiscal entre los países miembros.</w:t>
            </w:r>
          </w:p>
        </w:tc>
        <w:tc>
          <w:tcPr>
            <w:tcW w:w="3517" w:type="dxa"/>
          </w:tcPr>
          <w:p w:rsidR="001302D7" w:rsidRDefault="0046548E">
            <w:pPr>
              <w:pStyle w:val="Prrafodelista"/>
              <w:ind w:left="31" w:right="29" w:hanging="31"/>
              <w:jc w:val="both"/>
            </w:pPr>
            <w:r>
              <w:t>Mayor coordinación en la gestión tributaria y reducción de confl</w:t>
            </w:r>
            <w:r>
              <w:t>ictos fiscales en el bloque andino.</w:t>
            </w:r>
          </w:p>
        </w:tc>
      </w:tr>
    </w:tbl>
    <w:p w:rsidR="001302D7" w:rsidRDefault="001302D7">
      <w:pPr>
        <w:spacing w:line="216" w:lineRule="auto"/>
        <w:jc w:val="right"/>
        <w:rPr>
          <w:sz w:val="18"/>
          <w:szCs w:val="18"/>
        </w:rPr>
      </w:pPr>
    </w:p>
    <w:p w:rsidR="001302D7" w:rsidRDefault="0046548E">
      <w:pPr>
        <w:spacing w:line="216" w:lineRule="auto"/>
        <w:jc w:val="right"/>
        <w:rPr>
          <w:sz w:val="18"/>
          <w:szCs w:val="18"/>
        </w:rPr>
      </w:pPr>
      <w:r>
        <w:rPr>
          <w:sz w:val="18"/>
          <w:szCs w:val="18"/>
        </w:rPr>
        <w:t>Huacho, agosto</w:t>
      </w:r>
      <w:bookmarkStart w:id="2" w:name="_GoBack"/>
      <w:bookmarkEnd w:id="2"/>
      <w:r>
        <w:rPr>
          <w:sz w:val="18"/>
          <w:szCs w:val="18"/>
        </w:rPr>
        <w:t>, 2026</w:t>
      </w:r>
      <w:r>
        <w:rPr>
          <w:rFonts w:eastAsia="Times New Roman"/>
          <w:iCs/>
          <w:sz w:val="18"/>
          <w:szCs w:val="18"/>
          <w:lang w:eastAsia="es-ES"/>
        </w:rPr>
        <w:t xml:space="preserve">                                                                                 </w:t>
      </w:r>
      <w:r>
        <w:rPr>
          <w:rFonts w:eastAsia="Times New Roman"/>
          <w:sz w:val="18"/>
          <w:szCs w:val="18"/>
          <w:lang w:eastAsia="es-ES"/>
        </w:rPr>
        <w:t xml:space="preserve">                                                                                                             </w:t>
      </w:r>
    </w:p>
    <w:p w:rsidR="001302D7" w:rsidRDefault="001302D7">
      <w:pPr>
        <w:rPr>
          <w:sz w:val="18"/>
          <w:szCs w:val="18"/>
        </w:rPr>
      </w:pPr>
    </w:p>
    <w:p w:rsidR="001302D7" w:rsidRDefault="001302D7">
      <w:pPr>
        <w:jc w:val="center"/>
        <w:rPr>
          <w:sz w:val="18"/>
          <w:szCs w:val="18"/>
        </w:rPr>
      </w:pPr>
    </w:p>
    <w:p w:rsidR="001302D7" w:rsidRDefault="001302D7">
      <w:pPr>
        <w:jc w:val="center"/>
        <w:rPr>
          <w:sz w:val="18"/>
          <w:szCs w:val="18"/>
        </w:rPr>
      </w:pPr>
    </w:p>
    <w:p w:rsidR="001302D7" w:rsidRDefault="001302D7">
      <w:pPr>
        <w:jc w:val="center"/>
        <w:rPr>
          <w:sz w:val="18"/>
          <w:szCs w:val="18"/>
        </w:rPr>
      </w:pPr>
    </w:p>
    <w:p w:rsidR="001302D7" w:rsidRDefault="0046548E">
      <w:pPr>
        <w:jc w:val="center"/>
        <w:rPr>
          <w:sz w:val="18"/>
          <w:szCs w:val="18"/>
        </w:rPr>
      </w:pPr>
      <w:r>
        <w:rPr>
          <w:sz w:val="18"/>
          <w:szCs w:val="18"/>
        </w:rPr>
        <w:t>__________________________________</w:t>
      </w:r>
    </w:p>
    <w:p w:rsidR="001302D7" w:rsidRDefault="0046548E">
      <w:pPr>
        <w:jc w:val="center"/>
        <w:rPr>
          <w:sz w:val="18"/>
          <w:szCs w:val="18"/>
        </w:rPr>
      </w:pPr>
      <w:r>
        <w:rPr>
          <w:sz w:val="18"/>
          <w:szCs w:val="18"/>
        </w:rPr>
        <w:t>M(o). CARLA MILAGROS ESPINOZA MORE</w:t>
      </w:r>
    </w:p>
    <w:p w:rsidR="001302D7" w:rsidRDefault="0046548E">
      <w:pPr>
        <w:jc w:val="center"/>
        <w:rPr>
          <w:sz w:val="18"/>
          <w:szCs w:val="18"/>
        </w:rPr>
      </w:pPr>
      <w:r>
        <w:rPr>
          <w:sz w:val="18"/>
          <w:szCs w:val="18"/>
        </w:rPr>
        <w:t>DOCENTE</w:t>
      </w:r>
    </w:p>
    <w:p w:rsidR="001302D7" w:rsidRDefault="001302D7">
      <w:pPr>
        <w:rPr>
          <w:sz w:val="18"/>
          <w:szCs w:val="18"/>
        </w:rPr>
      </w:pPr>
    </w:p>
    <w:p w:rsidR="001302D7" w:rsidRDefault="001302D7">
      <w:pPr>
        <w:pStyle w:val="Textoindependiente"/>
        <w:spacing w:before="7"/>
        <w:rPr>
          <w:sz w:val="12"/>
        </w:rPr>
      </w:pPr>
    </w:p>
    <w:p w:rsidR="001302D7" w:rsidRDefault="001302D7">
      <w:pPr>
        <w:pStyle w:val="Textoindependiente"/>
        <w:spacing w:before="7"/>
        <w:rPr>
          <w:sz w:val="12"/>
        </w:rPr>
      </w:pPr>
    </w:p>
    <w:p w:rsidR="001302D7" w:rsidRDefault="001302D7">
      <w:pPr>
        <w:pStyle w:val="Textoindependiente"/>
        <w:spacing w:before="7"/>
        <w:rPr>
          <w:sz w:val="12"/>
        </w:rPr>
      </w:pPr>
    </w:p>
    <w:sectPr w:rsidR="001302D7">
      <w:pgSz w:w="11910" w:h="16840"/>
      <w:pgMar w:top="880" w:right="60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Narrow">
    <w:altName w:val="Arial"/>
    <w:charset w:val="00"/>
    <w:family w:val="swiss"/>
    <w:pitch w:val="default"/>
  </w:font>
  <w:font w:name="Caladea">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440C28"/>
    <w:multiLevelType w:val="multilevel"/>
    <w:tmpl w:val="0A440C2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C84FDB"/>
    <w:multiLevelType w:val="multilevel"/>
    <w:tmpl w:val="15C84F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C23FE8"/>
    <w:multiLevelType w:val="multilevel"/>
    <w:tmpl w:val="16C23FE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173A53"/>
    <w:multiLevelType w:val="multilevel"/>
    <w:tmpl w:val="24173A5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4AA27326"/>
    <w:multiLevelType w:val="multilevel"/>
    <w:tmpl w:val="4AA27326"/>
    <w:lvl w:ilvl="0">
      <w:numFmt w:val="bullet"/>
      <w:lvlText w:val=""/>
      <w:lvlJc w:val="left"/>
      <w:pPr>
        <w:ind w:left="830" w:hanging="284"/>
      </w:pPr>
      <w:rPr>
        <w:rFonts w:ascii="Symbol" w:eastAsia="Symbol" w:hAnsi="Symbol" w:cs="Symbol" w:hint="default"/>
        <w:w w:val="100"/>
        <w:sz w:val="24"/>
        <w:szCs w:val="24"/>
        <w:lang w:val="es-ES" w:eastAsia="en-US" w:bidi="ar-SA"/>
      </w:rPr>
    </w:lvl>
    <w:lvl w:ilvl="1">
      <w:numFmt w:val="bullet"/>
      <w:lvlText w:val="•"/>
      <w:lvlJc w:val="left"/>
      <w:pPr>
        <w:ind w:left="1728" w:hanging="284"/>
      </w:pPr>
      <w:rPr>
        <w:rFonts w:hint="default"/>
        <w:lang w:val="es-ES" w:eastAsia="en-US" w:bidi="ar-SA"/>
      </w:rPr>
    </w:lvl>
    <w:lvl w:ilvl="2">
      <w:numFmt w:val="bullet"/>
      <w:lvlText w:val="•"/>
      <w:lvlJc w:val="left"/>
      <w:pPr>
        <w:ind w:left="2616" w:hanging="284"/>
      </w:pPr>
      <w:rPr>
        <w:rFonts w:hint="default"/>
        <w:lang w:val="es-ES" w:eastAsia="en-US" w:bidi="ar-SA"/>
      </w:rPr>
    </w:lvl>
    <w:lvl w:ilvl="3">
      <w:numFmt w:val="bullet"/>
      <w:lvlText w:val="•"/>
      <w:lvlJc w:val="left"/>
      <w:pPr>
        <w:ind w:left="3505" w:hanging="284"/>
      </w:pPr>
      <w:rPr>
        <w:rFonts w:hint="default"/>
        <w:lang w:val="es-ES" w:eastAsia="en-US" w:bidi="ar-SA"/>
      </w:rPr>
    </w:lvl>
    <w:lvl w:ilvl="4">
      <w:numFmt w:val="bullet"/>
      <w:lvlText w:val="•"/>
      <w:lvlJc w:val="left"/>
      <w:pPr>
        <w:ind w:left="4393" w:hanging="284"/>
      </w:pPr>
      <w:rPr>
        <w:rFonts w:hint="default"/>
        <w:lang w:val="es-ES" w:eastAsia="en-US" w:bidi="ar-SA"/>
      </w:rPr>
    </w:lvl>
    <w:lvl w:ilvl="5">
      <w:numFmt w:val="bullet"/>
      <w:lvlText w:val="•"/>
      <w:lvlJc w:val="left"/>
      <w:pPr>
        <w:ind w:left="5282" w:hanging="284"/>
      </w:pPr>
      <w:rPr>
        <w:rFonts w:hint="default"/>
        <w:lang w:val="es-ES" w:eastAsia="en-US" w:bidi="ar-SA"/>
      </w:rPr>
    </w:lvl>
    <w:lvl w:ilvl="6">
      <w:numFmt w:val="bullet"/>
      <w:lvlText w:val="•"/>
      <w:lvlJc w:val="left"/>
      <w:pPr>
        <w:ind w:left="6170" w:hanging="284"/>
      </w:pPr>
      <w:rPr>
        <w:rFonts w:hint="default"/>
        <w:lang w:val="es-ES" w:eastAsia="en-US" w:bidi="ar-SA"/>
      </w:rPr>
    </w:lvl>
    <w:lvl w:ilvl="7">
      <w:numFmt w:val="bullet"/>
      <w:lvlText w:val="•"/>
      <w:lvlJc w:val="left"/>
      <w:pPr>
        <w:ind w:left="7058" w:hanging="284"/>
      </w:pPr>
      <w:rPr>
        <w:rFonts w:hint="default"/>
        <w:lang w:val="es-ES" w:eastAsia="en-US" w:bidi="ar-SA"/>
      </w:rPr>
    </w:lvl>
    <w:lvl w:ilvl="8">
      <w:numFmt w:val="bullet"/>
      <w:lvlText w:val="•"/>
      <w:lvlJc w:val="left"/>
      <w:pPr>
        <w:ind w:left="7947" w:hanging="284"/>
      </w:pPr>
      <w:rPr>
        <w:rFonts w:hint="default"/>
        <w:lang w:val="es-ES" w:eastAsia="en-US" w:bidi="ar-SA"/>
      </w:rPr>
    </w:lvl>
  </w:abstractNum>
  <w:abstractNum w:abstractNumId="6" w15:restartNumberingAfterBreak="0">
    <w:nsid w:val="630031F6"/>
    <w:multiLevelType w:val="multilevel"/>
    <w:tmpl w:val="630031F6"/>
    <w:lvl w:ilvl="0">
      <w:start w:val="1"/>
      <w:numFmt w:val="decimal"/>
      <w:lvlText w:val="%1."/>
      <w:lvlJc w:val="left"/>
      <w:pPr>
        <w:ind w:left="547" w:hanging="361"/>
      </w:pPr>
      <w:rPr>
        <w:rFonts w:ascii="Arial" w:eastAsia="Arial" w:hAnsi="Arial" w:cs="Arial" w:hint="default"/>
        <w:b/>
        <w:bCs/>
        <w:spacing w:val="-3"/>
        <w:w w:val="99"/>
        <w:sz w:val="24"/>
        <w:szCs w:val="24"/>
        <w:lang w:val="es-ES" w:eastAsia="en-US" w:bidi="ar-SA"/>
      </w:rPr>
    </w:lvl>
    <w:lvl w:ilvl="1">
      <w:numFmt w:val="bullet"/>
      <w:lvlText w:val="•"/>
      <w:lvlJc w:val="left"/>
      <w:pPr>
        <w:ind w:left="1458" w:hanging="361"/>
      </w:pPr>
      <w:rPr>
        <w:rFonts w:hint="default"/>
        <w:lang w:val="es-ES" w:eastAsia="en-US" w:bidi="ar-SA"/>
      </w:rPr>
    </w:lvl>
    <w:lvl w:ilvl="2">
      <w:numFmt w:val="bullet"/>
      <w:lvlText w:val="•"/>
      <w:lvlJc w:val="left"/>
      <w:pPr>
        <w:ind w:left="2376" w:hanging="361"/>
      </w:pPr>
      <w:rPr>
        <w:rFonts w:hint="default"/>
        <w:lang w:val="es-ES" w:eastAsia="en-US" w:bidi="ar-SA"/>
      </w:rPr>
    </w:lvl>
    <w:lvl w:ilvl="3">
      <w:numFmt w:val="bullet"/>
      <w:lvlText w:val="•"/>
      <w:lvlJc w:val="left"/>
      <w:pPr>
        <w:ind w:left="3295" w:hanging="361"/>
      </w:pPr>
      <w:rPr>
        <w:rFonts w:hint="default"/>
        <w:lang w:val="es-ES" w:eastAsia="en-US" w:bidi="ar-SA"/>
      </w:rPr>
    </w:lvl>
    <w:lvl w:ilvl="4">
      <w:numFmt w:val="bullet"/>
      <w:lvlText w:val="•"/>
      <w:lvlJc w:val="left"/>
      <w:pPr>
        <w:ind w:left="4213" w:hanging="361"/>
      </w:pPr>
      <w:rPr>
        <w:rFonts w:hint="default"/>
        <w:lang w:val="es-ES" w:eastAsia="en-US" w:bidi="ar-SA"/>
      </w:rPr>
    </w:lvl>
    <w:lvl w:ilvl="5">
      <w:numFmt w:val="bullet"/>
      <w:lvlText w:val="•"/>
      <w:lvlJc w:val="left"/>
      <w:pPr>
        <w:ind w:left="5132" w:hanging="361"/>
      </w:pPr>
      <w:rPr>
        <w:rFonts w:hint="default"/>
        <w:lang w:val="es-ES" w:eastAsia="en-US" w:bidi="ar-SA"/>
      </w:rPr>
    </w:lvl>
    <w:lvl w:ilvl="6">
      <w:numFmt w:val="bullet"/>
      <w:lvlText w:val="•"/>
      <w:lvlJc w:val="left"/>
      <w:pPr>
        <w:ind w:left="6050" w:hanging="361"/>
      </w:pPr>
      <w:rPr>
        <w:rFonts w:hint="default"/>
        <w:lang w:val="es-ES" w:eastAsia="en-US" w:bidi="ar-SA"/>
      </w:rPr>
    </w:lvl>
    <w:lvl w:ilvl="7">
      <w:numFmt w:val="bullet"/>
      <w:lvlText w:val="•"/>
      <w:lvlJc w:val="left"/>
      <w:pPr>
        <w:ind w:left="6968" w:hanging="361"/>
      </w:pPr>
      <w:rPr>
        <w:rFonts w:hint="default"/>
        <w:lang w:val="es-ES" w:eastAsia="en-US" w:bidi="ar-SA"/>
      </w:rPr>
    </w:lvl>
    <w:lvl w:ilvl="8">
      <w:numFmt w:val="bullet"/>
      <w:lvlText w:val="•"/>
      <w:lvlJc w:val="left"/>
      <w:pPr>
        <w:ind w:left="7887" w:hanging="361"/>
      </w:pPr>
      <w:rPr>
        <w:rFonts w:hint="default"/>
        <w:lang w:val="es-ES" w:eastAsia="en-US" w:bidi="ar-SA"/>
      </w:rPr>
    </w:lvl>
  </w:abstractNum>
  <w:abstractNum w:abstractNumId="7" w15:restartNumberingAfterBreak="0">
    <w:nsid w:val="6B492A20"/>
    <w:multiLevelType w:val="multilevel"/>
    <w:tmpl w:val="6B492A20"/>
    <w:lvl w:ilvl="0">
      <w:start w:val="1"/>
      <w:numFmt w:val="upperRoman"/>
      <w:lvlText w:val="%1."/>
      <w:lvlJc w:val="left"/>
      <w:pPr>
        <w:ind w:left="1658" w:hanging="399"/>
        <w:jc w:val="right"/>
      </w:pPr>
      <w:rPr>
        <w:rFonts w:hint="default"/>
        <w:b/>
        <w:bCs/>
        <w:spacing w:val="0"/>
        <w:w w:val="99"/>
        <w:lang w:val="es-ES" w:eastAsia="en-US" w:bidi="ar-SA"/>
      </w:rPr>
    </w:lvl>
    <w:lvl w:ilvl="1">
      <w:start w:val="1"/>
      <w:numFmt w:val="decimal"/>
      <w:lvlText w:val="%2."/>
      <w:lvlJc w:val="left"/>
      <w:pPr>
        <w:ind w:left="840" w:hanging="428"/>
      </w:pPr>
      <w:rPr>
        <w:rFonts w:ascii="Carlito" w:eastAsia="Carlito" w:hAnsi="Carlito" w:cs="Carlito" w:hint="default"/>
        <w:b/>
        <w:bCs/>
        <w:spacing w:val="-2"/>
        <w:w w:val="96"/>
        <w:sz w:val="22"/>
        <w:szCs w:val="22"/>
        <w:lang w:val="es-ES" w:eastAsia="en-US" w:bidi="ar-SA"/>
      </w:rPr>
    </w:lvl>
    <w:lvl w:ilvl="2">
      <w:numFmt w:val="bullet"/>
      <w:lvlText w:val=""/>
      <w:lvlJc w:val="left"/>
      <w:pPr>
        <w:ind w:left="1253" w:hanging="423"/>
      </w:pPr>
      <w:rPr>
        <w:rFonts w:ascii="Symbol" w:eastAsia="Symbol" w:hAnsi="Symbol" w:cs="Symbol" w:hint="default"/>
        <w:w w:val="100"/>
        <w:sz w:val="24"/>
        <w:szCs w:val="24"/>
        <w:lang w:val="es-ES" w:eastAsia="en-US" w:bidi="ar-SA"/>
      </w:rPr>
    </w:lvl>
    <w:lvl w:ilvl="3">
      <w:numFmt w:val="bullet"/>
      <w:lvlText w:val="•"/>
      <w:lvlJc w:val="left"/>
      <w:pPr>
        <w:ind w:left="2668" w:hanging="423"/>
      </w:pPr>
      <w:rPr>
        <w:rFonts w:hint="default"/>
        <w:lang w:val="es-ES" w:eastAsia="en-US" w:bidi="ar-SA"/>
      </w:rPr>
    </w:lvl>
    <w:lvl w:ilvl="4">
      <w:numFmt w:val="bullet"/>
      <w:lvlText w:val="•"/>
      <w:lvlJc w:val="left"/>
      <w:pPr>
        <w:ind w:left="3676" w:hanging="423"/>
      </w:pPr>
      <w:rPr>
        <w:rFonts w:hint="default"/>
        <w:lang w:val="es-ES" w:eastAsia="en-US" w:bidi="ar-SA"/>
      </w:rPr>
    </w:lvl>
    <w:lvl w:ilvl="5">
      <w:numFmt w:val="bullet"/>
      <w:lvlText w:val="•"/>
      <w:lvlJc w:val="left"/>
      <w:pPr>
        <w:ind w:left="4684" w:hanging="423"/>
      </w:pPr>
      <w:rPr>
        <w:rFonts w:hint="default"/>
        <w:lang w:val="es-ES" w:eastAsia="en-US" w:bidi="ar-SA"/>
      </w:rPr>
    </w:lvl>
    <w:lvl w:ilvl="6">
      <w:numFmt w:val="bullet"/>
      <w:lvlText w:val="•"/>
      <w:lvlJc w:val="left"/>
      <w:pPr>
        <w:ind w:left="5692" w:hanging="423"/>
      </w:pPr>
      <w:rPr>
        <w:rFonts w:hint="default"/>
        <w:lang w:val="es-ES" w:eastAsia="en-US" w:bidi="ar-SA"/>
      </w:rPr>
    </w:lvl>
    <w:lvl w:ilvl="7">
      <w:numFmt w:val="bullet"/>
      <w:lvlText w:val="•"/>
      <w:lvlJc w:val="left"/>
      <w:pPr>
        <w:ind w:left="6700" w:hanging="423"/>
      </w:pPr>
      <w:rPr>
        <w:rFonts w:hint="default"/>
        <w:lang w:val="es-ES" w:eastAsia="en-US" w:bidi="ar-SA"/>
      </w:rPr>
    </w:lvl>
    <w:lvl w:ilvl="8">
      <w:numFmt w:val="bullet"/>
      <w:lvlText w:val="•"/>
      <w:lvlJc w:val="left"/>
      <w:pPr>
        <w:ind w:left="7708" w:hanging="423"/>
      </w:pPr>
      <w:rPr>
        <w:rFonts w:hint="default"/>
        <w:lang w:val="es-ES" w:eastAsia="en-US" w:bidi="ar-SA"/>
      </w:rPr>
    </w:lvl>
  </w:abstractNum>
  <w:num w:numId="1">
    <w:abstractNumId w:val="7"/>
  </w:num>
  <w:num w:numId="2">
    <w:abstractNumId w:val="0"/>
  </w:num>
  <w:num w:numId="3">
    <w:abstractNumId w:val="3"/>
  </w:num>
  <w:num w:numId="4">
    <w:abstractNumId w:val="1"/>
  </w:num>
  <w:num w:numId="5">
    <w:abstractNumId w:val="6"/>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E83"/>
    <w:rsid w:val="0007612E"/>
    <w:rsid w:val="000C1825"/>
    <w:rsid w:val="00113F68"/>
    <w:rsid w:val="001302D7"/>
    <w:rsid w:val="00130FC8"/>
    <w:rsid w:val="001601EB"/>
    <w:rsid w:val="00164CD6"/>
    <w:rsid w:val="002175F7"/>
    <w:rsid w:val="00267B3A"/>
    <w:rsid w:val="00286812"/>
    <w:rsid w:val="002A3CBD"/>
    <w:rsid w:val="002B323D"/>
    <w:rsid w:val="002E4E71"/>
    <w:rsid w:val="003045FD"/>
    <w:rsid w:val="00342A28"/>
    <w:rsid w:val="003A0BE3"/>
    <w:rsid w:val="003B3062"/>
    <w:rsid w:val="003D09A7"/>
    <w:rsid w:val="00426489"/>
    <w:rsid w:val="00434244"/>
    <w:rsid w:val="00442B96"/>
    <w:rsid w:val="0046548E"/>
    <w:rsid w:val="004714D3"/>
    <w:rsid w:val="00475797"/>
    <w:rsid w:val="004E7597"/>
    <w:rsid w:val="004F7CD4"/>
    <w:rsid w:val="0052171A"/>
    <w:rsid w:val="00591DBD"/>
    <w:rsid w:val="00593C2F"/>
    <w:rsid w:val="005A2F50"/>
    <w:rsid w:val="005D66B7"/>
    <w:rsid w:val="006533EF"/>
    <w:rsid w:val="00681620"/>
    <w:rsid w:val="006D5E39"/>
    <w:rsid w:val="00751F05"/>
    <w:rsid w:val="00754317"/>
    <w:rsid w:val="00760092"/>
    <w:rsid w:val="0079224C"/>
    <w:rsid w:val="007C5251"/>
    <w:rsid w:val="008062DF"/>
    <w:rsid w:val="0081640D"/>
    <w:rsid w:val="0085780C"/>
    <w:rsid w:val="00867EC0"/>
    <w:rsid w:val="00897147"/>
    <w:rsid w:val="008A1480"/>
    <w:rsid w:val="009665C9"/>
    <w:rsid w:val="00987000"/>
    <w:rsid w:val="00987E39"/>
    <w:rsid w:val="0099431C"/>
    <w:rsid w:val="009C0AC0"/>
    <w:rsid w:val="009E4B10"/>
    <w:rsid w:val="00A16166"/>
    <w:rsid w:val="00A4382F"/>
    <w:rsid w:val="00A47845"/>
    <w:rsid w:val="00A60105"/>
    <w:rsid w:val="00A613DE"/>
    <w:rsid w:val="00AA0AFB"/>
    <w:rsid w:val="00AD4230"/>
    <w:rsid w:val="00BB19C5"/>
    <w:rsid w:val="00BE28FE"/>
    <w:rsid w:val="00BF0CA8"/>
    <w:rsid w:val="00C236B6"/>
    <w:rsid w:val="00C93B83"/>
    <w:rsid w:val="00C93D4B"/>
    <w:rsid w:val="00C9468D"/>
    <w:rsid w:val="00CC0F87"/>
    <w:rsid w:val="00D17FD7"/>
    <w:rsid w:val="00D228B1"/>
    <w:rsid w:val="00D304CF"/>
    <w:rsid w:val="00D32D57"/>
    <w:rsid w:val="00D90BA8"/>
    <w:rsid w:val="00DB6CFB"/>
    <w:rsid w:val="00DC5F98"/>
    <w:rsid w:val="00E00141"/>
    <w:rsid w:val="00E11C5D"/>
    <w:rsid w:val="00E73E83"/>
    <w:rsid w:val="00F87A7F"/>
    <w:rsid w:val="00FA23A7"/>
    <w:rsid w:val="00FB3381"/>
    <w:rsid w:val="00FC1C1F"/>
    <w:rsid w:val="00FE20B0"/>
    <w:rsid w:val="024F63FC"/>
    <w:rsid w:val="11607ABD"/>
    <w:rsid w:val="26225B7E"/>
    <w:rsid w:val="3B10692A"/>
    <w:rsid w:val="45AF7393"/>
    <w:rsid w:val="4F100590"/>
    <w:rsid w:val="75BA1087"/>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C09BEB1"/>
  <w15:docId w15:val="{5AF1C06D-B00D-4CE0-960A-077D3178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Arial" w:eastAsia="Arial" w:hAnsi="Arial" w:cs="Arial"/>
      <w:sz w:val="22"/>
      <w:szCs w:val="22"/>
      <w:lang w:val="es-ES"/>
    </w:rPr>
  </w:style>
  <w:style w:type="paragraph" w:styleId="Ttulo1">
    <w:name w:val="heading 1"/>
    <w:basedOn w:val="Normal"/>
    <w:uiPriority w:val="1"/>
    <w:qFormat/>
    <w:pPr>
      <w:ind w:left="547" w:hanging="400"/>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000FF" w:themeColor="hyperlink"/>
      <w:u w:val="single"/>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NormalWeb">
    <w:name w:val="Normal (Web)"/>
    <w:uiPriority w:val="99"/>
    <w:semiHidden/>
    <w:unhideWhenUsed/>
    <w:qFormat/>
    <w:pPr>
      <w:spacing w:beforeAutospacing="1" w:afterAutospacing="1"/>
    </w:pPr>
    <w:rPr>
      <w:sz w:val="24"/>
      <w:szCs w:val="24"/>
      <w:lang w:eastAsia="zh-CN"/>
    </w:rPr>
  </w:style>
  <w:style w:type="paragraph" w:styleId="Textoindependiente">
    <w:name w:val="Body Text"/>
    <w:basedOn w:val="Normal"/>
    <w:uiPriority w:val="1"/>
    <w:qFormat/>
    <w:rPr>
      <w:sz w:val="24"/>
      <w:szCs w:val="24"/>
    </w:rPr>
  </w:style>
  <w:style w:type="paragraph" w:styleId="Ttulo">
    <w:name w:val="Title"/>
    <w:basedOn w:val="Normal"/>
    <w:uiPriority w:val="1"/>
    <w:qFormat/>
    <w:pPr>
      <w:spacing w:before="27"/>
      <w:ind w:left="1235" w:right="1466" w:firstLine="1243"/>
    </w:pPr>
    <w:rPr>
      <w:rFonts w:ascii="Carlito" w:eastAsia="Carlito" w:hAnsi="Carlito" w:cs="Carlito"/>
      <w:b/>
      <w:bCs/>
      <w:sz w:val="36"/>
      <w:szCs w:val="36"/>
    </w:rPr>
  </w:style>
  <w:style w:type="table" w:styleId="Tablaconcuadrcula">
    <w:name w:val="Table Grid"/>
    <w:basedOn w:val="Tablanormal"/>
    <w:uiPriority w:val="39"/>
    <w:qFormat/>
    <w:rPr>
      <w:rFonts w:ascii="Calibri" w:eastAsia="Calibri" w:hAnsi="Calibri" w:cs="SimSun"/>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basedOn w:val="Normal"/>
    <w:uiPriority w:val="34"/>
    <w:qFormat/>
    <w:pPr>
      <w:ind w:left="830" w:hanging="284"/>
    </w:pPr>
  </w:style>
  <w:style w:type="paragraph" w:customStyle="1" w:styleId="TableParagraph">
    <w:name w:val="Table Paragraph"/>
    <w:basedOn w:val="Normal"/>
    <w:uiPriority w:val="1"/>
    <w:qFormat/>
    <w:rPr>
      <w:rFonts w:ascii="Liberation Sans Narrow" w:eastAsia="Liberation Sans Narrow" w:hAnsi="Liberation Sans Narrow" w:cs="Liberation Sans Narrow"/>
    </w:rPr>
  </w:style>
  <w:style w:type="character" w:customStyle="1" w:styleId="TextodegloboCar">
    <w:name w:val="Texto de globo Car"/>
    <w:basedOn w:val="Fuentedeprrafopredeter"/>
    <w:link w:val="Textodeglobo"/>
    <w:uiPriority w:val="99"/>
    <w:semiHidden/>
    <w:qFormat/>
    <w:rPr>
      <w:rFonts w:ascii="Segoe UI" w:eastAsia="Arial" w:hAnsi="Segoe UI" w:cs="Segoe UI"/>
      <w:sz w:val="18"/>
      <w:szCs w:val="18"/>
      <w:lang w:val="es-ES"/>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UnresolvedMention">
    <w:name w:val="Unresolved Mention"/>
    <w:basedOn w:val="Fuentedeprrafopredeter"/>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loomberg.com/" TargetMode="External"/><Relationship Id="rId13" Type="http://schemas.openxmlformats.org/officeDocument/2006/relationships/hyperlink" Target="http://www.aladi.org/" TargetMode="External"/><Relationship Id="rId3" Type="http://schemas.openxmlformats.org/officeDocument/2006/relationships/styles" Target="styles.xml"/><Relationship Id="rId7" Type="http://schemas.openxmlformats.org/officeDocument/2006/relationships/hyperlink" Target="http://www.expansion.com/diccionario-economico/" TargetMode="External"/><Relationship Id="rId12" Type="http://schemas.openxmlformats.org/officeDocument/2006/relationships/hyperlink" Target="http://www.mincetur.gob.pe/comercio-exterior/acuerdos-comercial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mincetur.gob.pe/comercio-exterior/acuerdos-comercial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unidadandina.org/" TargetMode="External"/><Relationship Id="rId4" Type="http://schemas.openxmlformats.org/officeDocument/2006/relationships/settings" Target="settings.xml"/><Relationship Id="rId9" Type="http://schemas.openxmlformats.org/officeDocument/2006/relationships/hyperlink" Target="http://www.acuerdoscomerciales.gob.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12</Pages>
  <Words>3749</Words>
  <Characters>21373</Characters>
  <Application>Microsoft Office Word</Application>
  <DocSecurity>0</DocSecurity>
  <Lines>178</Lines>
  <Paragraphs>50</Paragraphs>
  <ScaleCrop>false</ScaleCrop>
  <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Nacional José Faustino Sánchez Carrión</dc:title>
  <dc:subject>ACULTAD DE CIENCIAS EMPRESARIALES</dc:subject>
  <dc:creator>ESCUELA PROFESIONAL DE NEGOCIOS INTERNACIONALES</dc:creator>
  <cp:lastModifiedBy>Usuario</cp:lastModifiedBy>
  <cp:revision>72</cp:revision>
  <cp:lastPrinted>2026-03-25T19:37:00Z</cp:lastPrinted>
  <dcterms:created xsi:type="dcterms:W3CDTF">2021-02-10T20:16:00Z</dcterms:created>
  <dcterms:modified xsi:type="dcterms:W3CDTF">2026-08-17T23:19:00Z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Microsoft® Word 2016</vt:lpwstr>
  </property>
  <property fmtid="{D5CDD505-2E9C-101B-9397-08002B2CF9AE}" pid="4" name="LastSaved">
    <vt:filetime>2021-02-10T00:00:00Z</vt:filetime>
  </property>
  <property fmtid="{D5CDD505-2E9C-101B-9397-08002B2CF9AE}" pid="5" name="GrammarlyDocumentId">
    <vt:lpwstr>9e5a174101ce43c713e8c6ce81bcbfca8f46378e1435894ea90035fda816563f</vt:lpwstr>
  </property>
  <property fmtid="{D5CDD505-2E9C-101B-9397-08002B2CF9AE}" pid="6" name="KSOProductBuildVer">
    <vt:lpwstr>3082-12.1.0.28032</vt:lpwstr>
  </property>
  <property fmtid="{D5CDD505-2E9C-101B-9397-08002B2CF9AE}" pid="7" name="ICV">
    <vt:lpwstr>417F7687ECF6438B9D248112B16DACB5_13</vt:lpwstr>
  </property>
  <property fmtid="{D5CDD505-2E9C-101B-9397-08002B2CF9AE}" pid="8" name="KSOTemplateDocerSaveRecord">
    <vt:lpwstr>eyJoZGlkIjoiMGMwZTM1NmY2MGQwMzQ0YTVmZDIyYzZlODYyMzRmZDAiLCJ1c2VySWQiOiIyNDkxNjA1OTQzMzA4In0=</vt:lpwstr>
  </property>
</Properties>
</file>